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001-37829</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407, Tower 2, Harbour Centre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Hok Cheung Street, Hunghom, Kowloon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color w:val="auto"/>
        </w:rPr>
        <w:t>On May 11, 2026, AIOS Tech Inc. (the “Company”) received a notification letter (the “Notification Letter”) from the Listing Qualifications Department of The Nasdaq Stock Market LLC (“Nasdaq”) notifying the Company that it has regained compliance with the minimum bid price requirement set forth under Nasdaq Listing Rule 5550(a)(2) (the “Minimum Bid Price Requirement”). The Notification Letter confirmed that the Company evidenced a closing bid price at or greater than the $1.00 per Class A common share for the last 10 consecutive business days, from April 27, 2026 to May 8, 2026, and that the Company has regained compliance with the Minimum Bid Price Requirement. As a result, this matter has been closed.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AIOS Tech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Guo Li</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Guo Li</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2026-05-12T05:31:37Z</dcterms:created>
  <dcterms:modified xsi:type="dcterms:W3CDTF">2026-05-12T05:31:37Z</dcterms:modified>
</cp:coreProperties>
</file>