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997-6k_aiostech.htm"/>
      <w:bookmarkStart w:id="1" w:name="ksea03089976k_aios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001-37829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407, Tower 2, Harbour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Hok Cheung Street, Hunghom,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Transaction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AIOS Tech Inc. (the “Company”) entered into a transaction agreement (the “Transaction Agreement”) with the Better Way Holdings Limited, Novo Spring Management Limited and Cloud Spring Limited (collectively, the “Sellers”), which collectively hold all of the issued and outstanding shares of SmartCore Holdings Limited (the “Target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Transaction Agreement, the Company agreed to acquire from the Sellers, all of the issued and outstanding shares of the Target Company in exchange for the issuance to the Sellers of an aggregate of 33,333,334 Class A common shares of the Company, par value US$0.0001 per share (the “Consideration Shares”). The parties valued the Consideration Shares at US$3.00 per share for purposes of the transaction, resulting in aggregate purchase consideration of approximately US$100 million. No cash consideration is payable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transaction (the “Closing”), the Sellers will complete a series of restructuring and reorganization arrangements (the “Reorganization”). Following completion of the Reorganization and immediately prior to the Closing, AIMatrix Limited (“AIMatrix”), a company incorporated in Hong Kong, Happy Fortune Data Limited (“Happy Fortune”), a company incorporated in Macao, and Coco Cloud Technology Pte. Ltd. (“Coco Cloud”), a company incorporated in Singapore, will be wholly owned subsidiaries of the Target Company, and the Target Company will indirectly own 80% of EasyPay (Thailand) Co., Ltd. (“EasyPay”), a company incorporated in Thailand. AIMatrix, Happy Fortune, Coco Cloud and EasyPay are collectively referred to as the “Target Group Companies,” and the Target Company and the Target Group Companies are collectively referred to as the “Target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Reorganization, the Target Company, through the Target Group Companies, will be primarily engaged in (i) internet data center (“IDC”) connectivity services, including cross-border network interconnection, bandwidth optimization and management of global data traffic for customers served through overseas sales channels and (ii) IDC services, including customized server hosting, IP address allocation, and bandwidth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Target Group’s cross-border IDC connectivity and data center service capabilities may complement the Company’s existing portfolio of IT infrastructure, financial industry IT services and AI solutions. The Target Group operates in Hong Kong, Macao, Singapore and Thailand. If completed, the transaction is expected to expand the Company’s geographic coverage in the Greater Bay Area and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approved the execution and performance of the Transaction Agreement on October 19, 2026. The Closing is expected to occur on or before the end of November 2026, subject to completion of the Reorganization and the satisfaction or waiver of the other closing conditions set forth in the Transaction Agreement. There can be no assurance that the closing conditions will be satisfied or waived or that the transaction will be completed by that date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3,249,337 Class A common shares and 5,000,000 Class B common shares outstanding immediately before the Closing, and assuming no other share issuances before the Closing, the Sellers are expected to hold approximately 80.16% of the Company’s total issued and outstanding shares and approximately 6.21% of its total voting power immediately after the issuance of the Consideration Shares. Each Class A common share carries one vote, and each Class B common share carries 100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Agreement also provides that, subject to the exceptions specified therein, the Consideration Shares issued to Better Way Holdings Limited, one of the Sellers, may not be transferred or otherwise disposed of for a period of 60 months following the Closing. The Consideration Shares will be issued in a private transaction exempt from registration under Section 4(a)(2) of, and/or Regulation S under, the Securities Act of 1933, as amended, and will be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Agreement does not purport to be complete and is qualified in its entirety by reference to the full text of the Transaction Agreement, which is filed as Exhibit 10.1 to this Current Report on Form 6-K and is incorporated herein by reference. This report contains forward-looking statements, including statements regarding the expected timing, completion and benefits of the transaction. These statements involve risks and uncertainties, including the risks that the closing conditions are not satisfied or waived, and actual results may differ materially. The Company undertakes no obligation to update these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333-297531) that was initially filed with the SEC on July 17, 2026 and declared effective by the SEC on July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02"/>
        <w:gridCol w:w="60"/>
        <w:gridCol w:w="9143"/>
      </w:tblGrid>
      <w:tr>
        <w:trPr/>
        <w:tc>
          <w:tcPr>
            <w:tcW w:w="1002"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9143"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0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3" w:type="dxa"/>
            <w:tcBorders/>
            <w:shd w:fill="CCEEFF" w:val="clear"/>
            <w:tcMar>
              <w:bottom w:w="0" w:type="dxa"/>
            </w:tcMar>
            <w:vAlign w:val="center"/>
          </w:tcPr>
          <w:p>
            <w:pPr>
              <w:pStyle w:val="TableContents"/>
              <w:bidi w:val="0"/>
              <w:spacing w:before="0" w:after="283"/>
              <w:jc w:val="both"/>
              <w:rPr/>
            </w:pPr>
            <w:hyperlink w:anchor="ea030899701ex10-1.htm">
              <w:r>
                <w:rPr>
                  <w:rStyle w:val="InternetLink"/>
                  <w:rFonts w:ascii="Times New Roman;Times;Serif" w:hAnsi="Times New Roman;Times;Serif"/>
                </w:rPr>
                <w:t>Transaction Agreement dated October 19, 2026, by and among AIOS Tech Inc., Better Way Holdings Limited, Novo Spring Management Limited and Cloud Spring Limited</w:t>
              </w:r>
            </w:hyperlink>
          </w:p>
        </w:tc>
      </w:tr>
      <w:tr>
        <w:trPr/>
        <w:tc>
          <w:tcPr>
            <w:tcW w:w="10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43" w:type="dxa"/>
            <w:tcBorders/>
            <w:shd w:fill="FFFFFF" w:val="clear"/>
            <w:tcMar>
              <w:bottom w:w="0" w:type="dxa"/>
            </w:tcMar>
            <w:vAlign w:val="center"/>
          </w:tcPr>
          <w:p>
            <w:pPr>
              <w:pStyle w:val="TableContents"/>
              <w:bidi w:val="0"/>
              <w:spacing w:before="0" w:after="283"/>
              <w:jc w:val="left"/>
              <w:rPr/>
            </w:pPr>
            <w:hyperlink w:anchor="ea030899701ex99-1.htm">
              <w:r>
                <w:rPr>
                  <w:rStyle w:val="InternetLink"/>
                  <w:rFonts w:ascii="Times New Roman;Times;Serif" w:hAnsi="Times New Roman;Times;Serif"/>
                </w:rPr>
                <w:t>Press Release dated October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270"/>
        <w:gridCol w:w="650"/>
        <w:gridCol w:w="2660"/>
      </w:tblGrid>
      <w:tr>
        <w:trPr/>
        <w:tc>
          <w:tcPr>
            <w:tcW w:w="2270" w:type="dxa"/>
            <w:tcBorders/>
            <w:vAlign w:val="center"/>
          </w:tcPr>
          <w:p>
            <w:pPr>
              <w:pStyle w:val="TableContents"/>
              <w:bidi w:val="0"/>
              <w:spacing w:before="0" w:after="283"/>
              <w:jc w:val="left"/>
              <w:rPr/>
            </w:pPr>
            <w:r>
              <w:rPr/>
              <w:t> </w:t>
            </w:r>
          </w:p>
        </w:tc>
        <w:tc>
          <w:tcPr>
            <w:tcW w:w="331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AIOS Tech Inc. </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October 19, 2026</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Guo Li</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Guo Li</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20"/>
        <w:jc w:val="right"/>
        <w:rPr>
          <w:rFonts w:ascii="Times New Roman;Times;Serif" w:hAnsi="Times New Roman;Times;Serif"/>
          <w:b/>
          <w:i w:val="false"/>
          <w:caps w:val="false"/>
          <w:smallCaps w:val="false"/>
          <w:sz w:val="20"/>
        </w:rPr>
      </w:pPr>
      <w:bookmarkStart w:id="2" w:name="ea030899701ex10-1.htm"/>
      <w:bookmarkStart w:id="3" w:name="ksea0308997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 WAY HOLDINGS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 SPRING MANAGEMENT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SPRING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PARTIES NAMED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19,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8060"/>
        <w:gridCol w:w="560"/>
      </w:tblGrid>
      <w:tr>
        <w:trPr/>
        <w:tc>
          <w:tcPr>
            <w:tcW w:w="8060" w:type="dxa"/>
            <w:tcBorders/>
            <w:vAlign w:val="center"/>
          </w:tcPr>
          <w:p>
            <w:pPr>
              <w:pStyle w:val="TableContents"/>
              <w:bidi w:val="0"/>
              <w:spacing w:before="0" w:after="283"/>
              <w:jc w:val="left"/>
              <w:rPr>
                <w:sz w:val="4"/>
                <w:szCs w:val="4"/>
              </w:rPr>
            </w:pPr>
            <w:r>
              <w:rPr>
                <w:sz w:val="4"/>
                <w:szCs w:val="4"/>
              </w:rPr>
            </w:r>
          </w:p>
        </w:tc>
        <w:tc>
          <w:tcPr>
            <w:tcW w:w="560" w:type="dxa"/>
            <w:tcBorders>
              <w:bottom w:val="single" w:sz="12" w:space="0" w:color="000000"/>
            </w:tcBorders>
            <w:tcMar>
              <w:bottom w:w="28" w:type="dxa"/>
            </w:tcMar>
            <w:vAlign w:val="center"/>
          </w:tcPr>
          <w:p>
            <w:pPr>
              <w:pStyle w:val="TableContents"/>
              <w:bidi w:val="0"/>
              <w:spacing w:before="0" w:after="283"/>
              <w:jc w:val="right"/>
              <w:rPr>
                <w:i/>
                <w:smallCaps/>
              </w:rPr>
            </w:pPr>
            <w:r>
              <w:rPr>
                <w:i/>
                <w:smallCaps/>
              </w:rPr>
              <w:t>Page</w:t>
            </w:r>
          </w:p>
        </w:tc>
      </w:tr>
      <w:tr>
        <w:trPr/>
        <w:tc>
          <w:tcPr>
            <w:tcW w:w="8060"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RECITALS</w:t>
            </w:r>
          </w:p>
        </w:tc>
        <w:tc>
          <w:tcPr>
            <w:tcW w:w="560"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1</w:t>
            </w:r>
          </w:p>
        </w:tc>
      </w:tr>
      <w:tr>
        <w:trPr/>
        <w:tc>
          <w:tcPr>
            <w:tcW w:w="8060" w:type="dxa"/>
            <w:tcBorders/>
            <w:shd w:fill="FFFFFF" w:val="clear"/>
            <w:vAlign w:val="center"/>
          </w:tcPr>
          <w:p>
            <w:pPr>
              <w:pStyle w:val="TableContents"/>
              <w:bidi w:val="0"/>
              <w:spacing w:before="0" w:after="283"/>
              <w:jc w:val="left"/>
              <w:rPr>
                <w:caps/>
              </w:rPr>
            </w:pPr>
            <w:r>
              <w:rPr>
                <w:caps/>
              </w:rPr>
              <w:t> </w:t>
            </w:r>
          </w:p>
        </w:tc>
        <w:tc>
          <w:tcPr>
            <w:tcW w:w="560" w:type="dxa"/>
            <w:tcBorders/>
            <w:shd w:fill="FFFFFF" w:val="clear"/>
            <w:vAlign w:val="center"/>
          </w:tcPr>
          <w:p>
            <w:pPr>
              <w:pStyle w:val="TableContents"/>
              <w:bidi w:val="0"/>
              <w:spacing w:before="0" w:after="283"/>
              <w:jc w:val="right"/>
              <w:rPr>
                <w:caps/>
              </w:rPr>
            </w:pPr>
            <w:r>
              <w:rPr>
                <w:caps/>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1 Definitions and Interpretation</w:t>
            </w:r>
          </w:p>
        </w:tc>
        <w:tc>
          <w:tcPr>
            <w:tcW w:w="560"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2</w:t>
            </w:r>
          </w:p>
        </w:tc>
      </w:tr>
      <w:tr>
        <w:trPr/>
        <w:tc>
          <w:tcPr>
            <w:tcW w:w="8060" w:type="dxa"/>
            <w:tcBorders/>
            <w:shd w:fill="FFFFFF" w:val="clear"/>
            <w:vAlign w:val="center"/>
          </w:tcPr>
          <w:p>
            <w:pPr>
              <w:pStyle w:val="TableContents"/>
              <w:bidi w:val="0"/>
              <w:spacing w:before="0" w:after="283"/>
              <w:jc w:val="left"/>
              <w:rPr>
                <w:caps/>
              </w:rPr>
            </w:pPr>
            <w:r>
              <w:rPr>
                <w:caps/>
              </w:rPr>
              <w:t> </w:t>
            </w:r>
          </w:p>
        </w:tc>
        <w:tc>
          <w:tcPr>
            <w:tcW w:w="560" w:type="dxa"/>
            <w:tcBorders/>
            <w:shd w:fill="FFFFFF" w:val="clear"/>
            <w:vAlign w:val="center"/>
          </w:tcPr>
          <w:p>
            <w:pPr>
              <w:pStyle w:val="TableContents"/>
              <w:bidi w:val="0"/>
              <w:spacing w:before="0" w:after="283"/>
              <w:jc w:val="right"/>
              <w:rPr>
                <w:caps/>
              </w:rPr>
            </w:pPr>
            <w:r>
              <w:rPr>
                <w:caps/>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 Definitions.</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1.2. </w:t>
            </w:r>
            <w:r>
              <w:rPr>
                <w:rFonts w:ascii="Times New Roman;Times;Serif" w:hAnsi="Times New Roman;Times;Serif"/>
                <w:b/>
                <w:i/>
                <w:sz w:val="20"/>
              </w:rPr>
              <w:t>Interpretation</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2 Consideration</w:t>
            </w:r>
          </w:p>
        </w:tc>
        <w:tc>
          <w:tcPr>
            <w:tcW w:w="560"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7</w:t>
            </w:r>
          </w:p>
        </w:tc>
      </w:tr>
      <w:tr>
        <w:trPr/>
        <w:tc>
          <w:tcPr>
            <w:tcW w:w="8060" w:type="dxa"/>
            <w:tcBorders/>
            <w:shd w:fill="FFFFFF" w:val="clear"/>
            <w:vAlign w:val="center"/>
          </w:tcPr>
          <w:p>
            <w:pPr>
              <w:pStyle w:val="TableContents"/>
              <w:bidi w:val="0"/>
              <w:spacing w:before="0" w:after="283"/>
              <w:jc w:val="left"/>
              <w:rPr>
                <w:caps/>
              </w:rPr>
            </w:pPr>
            <w:r>
              <w:rPr>
                <w:caps/>
              </w:rPr>
              <w:t> </w:t>
            </w:r>
          </w:p>
        </w:tc>
        <w:tc>
          <w:tcPr>
            <w:tcW w:w="560" w:type="dxa"/>
            <w:tcBorders/>
            <w:shd w:fill="FFFFFF" w:val="clear"/>
            <w:vAlign w:val="center"/>
          </w:tcPr>
          <w:p>
            <w:pPr>
              <w:pStyle w:val="TableContents"/>
              <w:bidi w:val="0"/>
              <w:spacing w:before="0" w:after="283"/>
              <w:jc w:val="right"/>
              <w:rPr>
                <w:caps/>
              </w:rPr>
            </w:pPr>
            <w:r>
              <w:rPr>
                <w:caps/>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 Share Transfer and Share Issuance</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2.2. </w:t>
            </w:r>
            <w:r>
              <w:rPr>
                <w:rFonts w:ascii="Times New Roman;Times;Serif" w:hAnsi="Times New Roman;Times;Serif"/>
                <w:b/>
                <w:i/>
                <w:sz w:val="20"/>
              </w:rPr>
              <w:t>Closing.</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3 Representations and Warranties of the Buyer</w:t>
            </w:r>
          </w:p>
        </w:tc>
        <w:tc>
          <w:tcPr>
            <w:tcW w:w="560"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9</w:t>
            </w:r>
          </w:p>
        </w:tc>
      </w:tr>
      <w:tr>
        <w:trPr/>
        <w:tc>
          <w:tcPr>
            <w:tcW w:w="8060" w:type="dxa"/>
            <w:tcBorders/>
            <w:shd w:fill="FFFFFF" w:val="clear"/>
            <w:vAlign w:val="center"/>
          </w:tcPr>
          <w:p>
            <w:pPr>
              <w:pStyle w:val="TableContents"/>
              <w:bidi w:val="0"/>
              <w:spacing w:before="0" w:after="283"/>
              <w:jc w:val="left"/>
              <w:rPr>
                <w:caps/>
              </w:rPr>
            </w:pPr>
            <w:r>
              <w:rPr>
                <w:caps/>
              </w:rPr>
              <w:t> </w:t>
            </w:r>
          </w:p>
        </w:tc>
        <w:tc>
          <w:tcPr>
            <w:tcW w:w="560" w:type="dxa"/>
            <w:tcBorders/>
            <w:shd w:fill="FFFFFF" w:val="clear"/>
            <w:vAlign w:val="center"/>
          </w:tcPr>
          <w:p>
            <w:pPr>
              <w:pStyle w:val="TableContents"/>
              <w:bidi w:val="0"/>
              <w:spacing w:before="0" w:after="283"/>
              <w:jc w:val="right"/>
              <w:rPr>
                <w:caps/>
              </w:rPr>
            </w:pPr>
            <w:r>
              <w:rPr>
                <w:caps/>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 </w:t>
            </w:r>
            <w:r>
              <w:rPr>
                <w:rFonts w:ascii="Times New Roman;Times;Serif" w:hAnsi="Times New Roman;Times;Serif"/>
                <w:b/>
                <w:i/>
                <w:sz w:val="20"/>
              </w:rPr>
              <w:t>Accuracy of Disclosure</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3.2. </w:t>
            </w:r>
            <w:r>
              <w:rPr>
                <w:rFonts w:ascii="Times New Roman;Times;Serif" w:hAnsi="Times New Roman;Times;Serif"/>
                <w:b/>
                <w:i/>
                <w:sz w:val="20"/>
              </w:rPr>
              <w:t>Existence and Power</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3.3. </w:t>
            </w:r>
            <w:r>
              <w:rPr>
                <w:rFonts w:ascii="Times New Roman;Times;Serif" w:hAnsi="Times New Roman;Times;Serif"/>
                <w:b/>
                <w:i/>
                <w:sz w:val="20"/>
              </w:rPr>
              <w:t>Authorization; Due Execution</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3.4. </w:t>
            </w:r>
            <w:r>
              <w:rPr>
                <w:rFonts w:ascii="Times New Roman;Times;Serif" w:hAnsi="Times New Roman;Times;Serif"/>
                <w:b/>
                <w:i/>
                <w:sz w:val="20"/>
              </w:rPr>
              <w:t>No Conflicts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3.5. </w:t>
            </w:r>
            <w:r>
              <w:rPr>
                <w:rFonts w:ascii="Times New Roman;Times;Serif" w:hAnsi="Times New Roman;Times;Serif"/>
                <w:b/>
                <w:i/>
                <w:sz w:val="20"/>
              </w:rPr>
              <w:t>Capitalization.</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3.6. </w:t>
            </w:r>
            <w:r>
              <w:rPr>
                <w:rFonts w:ascii="Times New Roman;Times;Serif" w:hAnsi="Times New Roman;Times;Serif"/>
                <w:b/>
                <w:i/>
                <w:sz w:val="20"/>
              </w:rPr>
              <w:t>Subsidiaries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3.7. </w:t>
            </w:r>
            <w:r>
              <w:rPr>
                <w:rFonts w:ascii="Times New Roman;Times;Serif" w:hAnsi="Times New Roman;Times;Serif"/>
                <w:b/>
                <w:i/>
                <w:sz w:val="20"/>
              </w:rPr>
              <w:t>Compliance with Laws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3.8. </w:t>
            </w:r>
            <w:r>
              <w:rPr>
                <w:rFonts w:ascii="Times New Roman;Times;Serif" w:hAnsi="Times New Roman;Times;Serif"/>
                <w:b/>
                <w:i/>
                <w:sz w:val="20"/>
              </w:rPr>
              <w:t>Governmental Approvals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3.9. </w:t>
            </w:r>
            <w:r>
              <w:rPr>
                <w:rFonts w:ascii="Times New Roman;Times;Serif" w:hAnsi="Times New Roman;Times;Serif"/>
                <w:b/>
                <w:i/>
                <w:sz w:val="20"/>
              </w:rPr>
              <w:t>Financial Matters.</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3.10. </w:t>
            </w:r>
            <w:r>
              <w:rPr>
                <w:rFonts w:ascii="Times New Roman;Times;Serif" w:hAnsi="Times New Roman;Times;Serif"/>
                <w:b/>
                <w:i/>
                <w:sz w:val="20"/>
              </w:rPr>
              <w:t>Operations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3.11. </w:t>
            </w:r>
            <w:r>
              <w:rPr>
                <w:rFonts w:ascii="Times New Roman;Times;Serif" w:hAnsi="Times New Roman;Times;Serif"/>
                <w:b/>
                <w:i/>
                <w:sz w:val="20"/>
              </w:rPr>
              <w:t>Absence of Certain Changes</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3.12. </w:t>
            </w:r>
            <w:r>
              <w:rPr>
                <w:rFonts w:ascii="Times New Roman;Times;Serif" w:hAnsi="Times New Roman;Times;Serif"/>
                <w:b/>
                <w:i/>
                <w:sz w:val="20"/>
              </w:rPr>
              <w:t>Litigation</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3.13. </w:t>
            </w:r>
            <w:r>
              <w:rPr>
                <w:rFonts w:ascii="Times New Roman;Times;Serif" w:hAnsi="Times New Roman;Times;Serif"/>
                <w:b/>
                <w:i/>
                <w:sz w:val="20"/>
              </w:rPr>
              <w:t>Bankruptcy</w:t>
            </w:r>
            <w:r>
              <w:rPr>
                <w:rFonts w:ascii="Times New Roman;Times;Serif" w:hAnsi="Times New Roman;Times;Serif"/>
                <w:b/>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0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8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3.14. </w:t>
            </w:r>
            <w:r>
              <w:rPr>
                <w:rFonts w:ascii="Times New Roman;Times;Serif" w:hAnsi="Times New Roman;Times;Serif"/>
                <w:b/>
                <w:i/>
                <w:sz w:val="20"/>
              </w:rPr>
              <w:t>Brokers’ Fees.</w:t>
            </w:r>
          </w:p>
        </w:tc>
        <w:tc>
          <w:tcPr>
            <w:tcW w:w="5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75" w:type="dxa"/>
        <w:jc w:val="left"/>
        <w:tblInd w:w="0" w:type="dxa"/>
        <w:tblLayout w:type="fixed"/>
        <w:tblCellMar>
          <w:top w:w="0" w:type="dxa"/>
          <w:left w:w="0" w:type="dxa"/>
          <w:bottom w:w="0" w:type="dxa"/>
          <w:right w:w="0" w:type="dxa"/>
        </w:tblCellMar>
      </w:tblPr>
      <w:tblGrid>
        <w:gridCol w:w="8300"/>
        <w:gridCol w:w="275"/>
      </w:tblGrid>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3.15. </w:t>
            </w:r>
            <w:r>
              <w:rPr>
                <w:rFonts w:ascii="Times New Roman;Times;Serif" w:hAnsi="Times New Roman;Times;Serif"/>
                <w:b/>
                <w:i/>
                <w:sz w:val="20"/>
              </w:rPr>
              <w:t>No Buyer Material Adverse Effect</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3.16. </w:t>
            </w:r>
            <w:r>
              <w:rPr>
                <w:rFonts w:ascii="Times New Roman;Times;Serif" w:hAnsi="Times New Roman;Times;Serif"/>
                <w:b/>
                <w:i/>
                <w:sz w:val="20"/>
              </w:rPr>
              <w:t>Independent Investigation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4 Representations and Warranties of the Sellers</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13</w:t>
            </w:r>
          </w:p>
        </w:tc>
      </w:tr>
      <w:tr>
        <w:trPr/>
        <w:tc>
          <w:tcPr>
            <w:tcW w:w="830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 </w:t>
            </w:r>
            <w:r>
              <w:rPr>
                <w:rFonts w:ascii="Times New Roman;Times;Serif" w:hAnsi="Times New Roman;Times;Serif"/>
                <w:b/>
                <w:i/>
                <w:sz w:val="20"/>
              </w:rPr>
              <w:t>Existence and Power</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4.2. </w:t>
            </w:r>
            <w:r>
              <w:rPr>
                <w:rFonts w:ascii="Times New Roman;Times;Serif" w:hAnsi="Times New Roman;Times;Serif"/>
                <w:b/>
                <w:i/>
                <w:sz w:val="20"/>
              </w:rPr>
              <w:t>Authorization; Due Execution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4.3. </w:t>
            </w:r>
            <w:r>
              <w:rPr>
                <w:rFonts w:ascii="Times New Roman;Times;Serif" w:hAnsi="Times New Roman;Times;Serif"/>
                <w:b/>
                <w:i/>
                <w:sz w:val="20"/>
              </w:rPr>
              <w:t>No Conflicts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4.4. </w:t>
            </w:r>
            <w:r>
              <w:rPr>
                <w:rFonts w:ascii="Times New Roman;Times;Serif" w:hAnsi="Times New Roman;Times;Serif"/>
                <w:b/>
                <w:i/>
                <w:sz w:val="20"/>
              </w:rPr>
              <w:t>Capitalization.</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4.5. Subsidiaries.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4.6. </w:t>
            </w:r>
            <w:r>
              <w:rPr>
                <w:rFonts w:ascii="Times New Roman;Times;Serif" w:hAnsi="Times New Roman;Times;Serif"/>
                <w:b/>
                <w:i/>
                <w:sz w:val="20"/>
              </w:rPr>
              <w:t>Compliance with Laws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4.7. </w:t>
            </w:r>
            <w:r>
              <w:rPr>
                <w:rFonts w:ascii="Times New Roman;Times;Serif" w:hAnsi="Times New Roman;Times;Serif"/>
                <w:b/>
                <w:i/>
                <w:sz w:val="20"/>
              </w:rPr>
              <w:t>Governmental Approvals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4.8. </w:t>
            </w:r>
            <w:r>
              <w:rPr>
                <w:rFonts w:ascii="Times New Roman;Times;Serif" w:hAnsi="Times New Roman;Times;Serif"/>
                <w:b/>
                <w:i/>
                <w:sz w:val="20"/>
              </w:rPr>
              <w:t>Financial Matters.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4.9. </w:t>
            </w:r>
            <w:r>
              <w:rPr>
                <w:rFonts w:ascii="Times New Roman;Times;Serif" w:hAnsi="Times New Roman;Times;Serif"/>
                <w:b/>
                <w:i/>
                <w:sz w:val="20"/>
              </w:rPr>
              <w:t>Operations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4.10. </w:t>
            </w:r>
            <w:r>
              <w:rPr>
                <w:rFonts w:ascii="Times New Roman;Times;Serif" w:hAnsi="Times New Roman;Times;Serif"/>
                <w:b/>
                <w:i/>
                <w:sz w:val="20"/>
              </w:rPr>
              <w:t>Absence of Certain Changes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4.11. </w:t>
            </w:r>
            <w:r>
              <w:rPr>
                <w:rFonts w:ascii="Times New Roman;Times;Serif" w:hAnsi="Times New Roman;Times;Serif"/>
                <w:b/>
                <w:i/>
                <w:sz w:val="20"/>
              </w:rPr>
              <w:t>Litigation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4.12. </w:t>
            </w:r>
            <w:r>
              <w:rPr>
                <w:rFonts w:ascii="Times New Roman;Times;Serif" w:hAnsi="Times New Roman;Times;Serif"/>
                <w:b/>
                <w:i/>
                <w:sz w:val="20"/>
              </w:rPr>
              <w:t>Bankruptcy</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4.13. </w:t>
            </w:r>
            <w:r>
              <w:rPr>
                <w:rFonts w:ascii="Times New Roman;Times;Serif" w:hAnsi="Times New Roman;Times;Serif"/>
                <w:b/>
                <w:i/>
                <w:sz w:val="20"/>
              </w:rPr>
              <w:t>Brokers’ Fees.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4.14. </w:t>
            </w:r>
            <w:r>
              <w:rPr>
                <w:rFonts w:ascii="Times New Roman;Times;Serif" w:hAnsi="Times New Roman;Times;Serif"/>
                <w:b/>
                <w:i/>
                <w:sz w:val="20"/>
              </w:rPr>
              <w:t>No Target Co. Material Adverse Effect</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4.15. </w:t>
            </w:r>
            <w:r>
              <w:rPr>
                <w:rFonts w:ascii="Times New Roman;Times;Serif" w:hAnsi="Times New Roman;Times;Serif"/>
                <w:b/>
                <w:i/>
                <w:sz w:val="20"/>
              </w:rPr>
              <w:t>Independent Investigation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5 Conditions</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16</w:t>
            </w:r>
          </w:p>
        </w:tc>
      </w:tr>
      <w:tr>
        <w:trPr/>
        <w:tc>
          <w:tcPr>
            <w:tcW w:w="8300"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5.1. </w:t>
            </w:r>
            <w:r>
              <w:rPr>
                <w:rFonts w:ascii="Times New Roman;Times;Serif" w:hAnsi="Times New Roman;Times;Serif"/>
                <w:b/>
                <w:i/>
                <w:sz w:val="20"/>
              </w:rPr>
              <w:t>Conditions to the Obligation of the Sellers and the Buyer to Consummate Closing</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5.2. </w:t>
            </w:r>
            <w:r>
              <w:rPr>
                <w:rFonts w:ascii="Times New Roman;Times;Serif" w:hAnsi="Times New Roman;Times;Serif"/>
                <w:b/>
                <w:i/>
                <w:sz w:val="20"/>
              </w:rPr>
              <w:t>Other Conditions to the Obligation of the Sellers to Consummate the Closing</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p>
        </w:tc>
      </w:tr>
      <w:tr>
        <w:trPr/>
        <w:tc>
          <w:tcPr>
            <w:tcW w:w="83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3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5.3. </w:t>
            </w:r>
            <w:r>
              <w:rPr>
                <w:rFonts w:ascii="Times New Roman;Times;Serif" w:hAnsi="Times New Roman;Times;Serif"/>
                <w:b/>
                <w:i/>
                <w:sz w:val="20"/>
              </w:rPr>
              <w:t>Other Conditions to the Obligation of the Buyer to Consummate the Closing</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30" w:type="dxa"/>
        <w:jc w:val="left"/>
        <w:tblInd w:w="0" w:type="dxa"/>
        <w:tblLayout w:type="fixed"/>
        <w:tblCellMar>
          <w:top w:w="0" w:type="dxa"/>
          <w:left w:w="0" w:type="dxa"/>
          <w:bottom w:w="0" w:type="dxa"/>
          <w:right w:w="0" w:type="dxa"/>
        </w:tblCellMar>
      </w:tblPr>
      <w:tblGrid>
        <w:gridCol w:w="6755"/>
        <w:gridCol w:w="275"/>
      </w:tblGrid>
      <w:tr>
        <w:trPr/>
        <w:tc>
          <w:tcPr>
            <w:tcW w:w="675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6 Covenants</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18</w:t>
            </w:r>
          </w:p>
        </w:tc>
      </w:tr>
      <w:tr>
        <w:trPr/>
        <w:tc>
          <w:tcPr>
            <w:tcW w:w="675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6.1. </w:t>
            </w:r>
            <w:r>
              <w:rPr>
                <w:rFonts w:ascii="Times New Roman;Times;Serif" w:hAnsi="Times New Roman;Times;Serif"/>
                <w:b/>
                <w:i/>
                <w:sz w:val="20"/>
              </w:rPr>
              <w:t>Conduct of Business Pending the Closing</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6.2. </w:t>
            </w:r>
            <w:r>
              <w:rPr>
                <w:rFonts w:ascii="Times New Roman;Times;Serif" w:hAnsi="Times New Roman;Times;Serif"/>
                <w:b/>
                <w:i/>
                <w:sz w:val="20"/>
              </w:rPr>
              <w:t>Notification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6.3. </w:t>
            </w:r>
            <w:r>
              <w:rPr>
                <w:rFonts w:ascii="Times New Roman;Times;Serif" w:hAnsi="Times New Roman;Times;Serif"/>
                <w:b/>
                <w:i/>
                <w:sz w:val="20"/>
              </w:rPr>
              <w:t>Required Consents; Communications with Governmental Authorities.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6.4. </w:t>
            </w:r>
            <w:r>
              <w:rPr>
                <w:rFonts w:ascii="Times New Roman;Times;Serif" w:hAnsi="Times New Roman;Times;Serif"/>
                <w:b/>
                <w:i/>
                <w:sz w:val="20"/>
              </w:rPr>
              <w:t>Confidentiality</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6.5. </w:t>
            </w:r>
            <w:r>
              <w:rPr>
                <w:rFonts w:ascii="Times New Roman;Times;Serif" w:hAnsi="Times New Roman;Times;Serif"/>
                <w:b/>
                <w:i/>
                <w:sz w:val="20"/>
              </w:rPr>
              <w:t>Further Assurances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6.6. </w:t>
            </w:r>
            <w:r>
              <w:rPr>
                <w:rFonts w:ascii="Times New Roman;Times;Serif" w:hAnsi="Times New Roman;Times;Serif"/>
                <w:b/>
                <w:i/>
                <w:sz w:val="20"/>
              </w:rPr>
              <w:t>Public Announcements.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6.7. </w:t>
            </w:r>
            <w:r>
              <w:rPr>
                <w:rFonts w:ascii="Times New Roman;Times;Serif" w:hAnsi="Times New Roman;Times;Serif"/>
                <w:b/>
                <w:i/>
                <w:sz w:val="20"/>
              </w:rPr>
              <w:t>Tax</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6.8. </w:t>
            </w:r>
            <w:r>
              <w:rPr>
                <w:rFonts w:ascii="Times New Roman;Times;Serif" w:hAnsi="Times New Roman;Times;Serif"/>
                <w:b/>
                <w:i/>
                <w:sz w:val="20"/>
              </w:rPr>
              <w:t>Lock-Up</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7 Indemnification</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21</w:t>
            </w:r>
          </w:p>
        </w:tc>
      </w:tr>
      <w:tr>
        <w:trPr/>
        <w:tc>
          <w:tcPr>
            <w:tcW w:w="675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7.1. </w:t>
            </w:r>
            <w:r>
              <w:rPr>
                <w:rFonts w:ascii="Times New Roman;Times;Serif" w:hAnsi="Times New Roman;Times;Serif"/>
                <w:b/>
                <w:i/>
                <w:sz w:val="20"/>
              </w:rPr>
              <w:t>Survival.</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7.2. </w:t>
            </w:r>
            <w:r>
              <w:rPr>
                <w:rFonts w:ascii="Times New Roman;Times;Serif" w:hAnsi="Times New Roman;Times;Serif"/>
                <w:b/>
                <w:i/>
                <w:sz w:val="20"/>
              </w:rPr>
              <w:t>Indemnification by the Buyer</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7.3. </w:t>
            </w:r>
            <w:r>
              <w:rPr>
                <w:rFonts w:ascii="Times New Roman;Times;Serif" w:hAnsi="Times New Roman;Times;Serif"/>
                <w:b/>
                <w:i/>
                <w:sz w:val="20"/>
              </w:rPr>
              <w:t>Limits on Indemnification by the Buyer</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7.4. </w:t>
            </w:r>
            <w:r>
              <w:rPr>
                <w:rFonts w:ascii="Times New Roman;Times;Serif" w:hAnsi="Times New Roman;Times;Serif"/>
                <w:b/>
                <w:i/>
                <w:sz w:val="20"/>
              </w:rPr>
              <w:t>Indemnification by the Sellers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7.5. </w:t>
            </w:r>
            <w:r>
              <w:rPr>
                <w:rFonts w:ascii="Times New Roman;Times;Serif" w:hAnsi="Times New Roman;Times;Serif"/>
                <w:b/>
                <w:i/>
                <w:sz w:val="20"/>
              </w:rPr>
              <w:t>Limits on Indemnification by the Sellers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7.6. </w:t>
            </w:r>
            <w:r>
              <w:rPr>
                <w:rFonts w:ascii="Times New Roman;Times;Serif" w:hAnsi="Times New Roman;Times;Serif"/>
                <w:b/>
                <w:i/>
                <w:sz w:val="20"/>
              </w:rPr>
              <w:t>Mitigation.</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7.7. </w:t>
            </w:r>
            <w:r>
              <w:rPr>
                <w:rFonts w:ascii="Times New Roman;Times;Serif" w:hAnsi="Times New Roman;Times;Serif"/>
                <w:b/>
                <w:i/>
                <w:sz w:val="20"/>
              </w:rPr>
              <w:t>Sole Remedy; Specific Performance</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7.8. </w:t>
            </w:r>
            <w:r>
              <w:rPr>
                <w:rFonts w:ascii="Times New Roman;Times;Serif" w:hAnsi="Times New Roman;Times;Serif"/>
                <w:b/>
                <w:i/>
                <w:sz w:val="20"/>
              </w:rPr>
              <w:t>Third Party Claims.</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8 Termination</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25</w:t>
            </w:r>
          </w:p>
        </w:tc>
      </w:tr>
      <w:tr>
        <w:trPr/>
        <w:tc>
          <w:tcPr>
            <w:tcW w:w="675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8.1. </w:t>
            </w:r>
            <w:r>
              <w:rPr>
                <w:rFonts w:ascii="Times New Roman;Times;Serif" w:hAnsi="Times New Roman;Times;Serif"/>
                <w:b/>
                <w:i/>
                <w:sz w:val="20"/>
              </w:rPr>
              <w:t>Termination Rights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w:t>
            </w:r>
          </w:p>
        </w:tc>
      </w:tr>
      <w:tr>
        <w:trPr/>
        <w:tc>
          <w:tcPr>
            <w:tcW w:w="67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8.2. </w:t>
            </w:r>
            <w:r>
              <w:rPr>
                <w:rFonts w:ascii="Times New Roman;Times;Serif" w:hAnsi="Times New Roman;Times;Serif"/>
                <w:b/>
                <w:i/>
                <w:sz w:val="20"/>
              </w:rPr>
              <w:t>Effects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80" w:type="dxa"/>
        <w:jc w:val="left"/>
        <w:tblInd w:w="0" w:type="dxa"/>
        <w:tblLayout w:type="fixed"/>
        <w:tblCellMar>
          <w:top w:w="0" w:type="dxa"/>
          <w:left w:w="0" w:type="dxa"/>
          <w:bottom w:w="0" w:type="dxa"/>
          <w:right w:w="0" w:type="dxa"/>
        </w:tblCellMar>
      </w:tblPr>
      <w:tblGrid>
        <w:gridCol w:w="5105"/>
        <w:gridCol w:w="275"/>
      </w:tblGrid>
      <w:tr>
        <w:trPr/>
        <w:tc>
          <w:tcPr>
            <w:tcW w:w="510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Article 9 Miscellaneous</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25</w:t>
            </w:r>
          </w:p>
        </w:tc>
      </w:tr>
      <w:tr>
        <w:trPr/>
        <w:tc>
          <w:tcPr>
            <w:tcW w:w="510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9.1. </w:t>
            </w:r>
            <w:r>
              <w:rPr>
                <w:rFonts w:ascii="Times New Roman;Times;Serif" w:hAnsi="Times New Roman;Times;Serif"/>
                <w:b/>
                <w:i/>
                <w:sz w:val="20"/>
              </w:rPr>
              <w:t>Entire Agreement</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9.2. </w:t>
            </w:r>
            <w:r>
              <w:rPr>
                <w:rFonts w:ascii="Times New Roman;Times;Serif" w:hAnsi="Times New Roman;Times;Serif"/>
                <w:b/>
                <w:i/>
                <w:sz w:val="20"/>
              </w:rPr>
              <w:t>Notices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9.3. </w:t>
            </w:r>
            <w:r>
              <w:rPr>
                <w:rFonts w:ascii="Times New Roman;Times;Serif" w:hAnsi="Times New Roman;Times;Serif"/>
                <w:b/>
                <w:i/>
                <w:sz w:val="20"/>
              </w:rPr>
              <w:t>Amendment; Waiver</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9.4. </w:t>
            </w:r>
            <w:r>
              <w:rPr>
                <w:rFonts w:ascii="Times New Roman;Times;Serif" w:hAnsi="Times New Roman;Times;Serif"/>
                <w:b/>
                <w:i/>
                <w:sz w:val="20"/>
              </w:rPr>
              <w:t>Severability</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9.5. </w:t>
            </w:r>
            <w:r>
              <w:rPr>
                <w:rFonts w:ascii="Times New Roman;Times;Serif" w:hAnsi="Times New Roman;Times;Serif"/>
                <w:b/>
                <w:i/>
                <w:sz w:val="20"/>
              </w:rPr>
              <w:t>Non-assignment</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9.6. </w:t>
            </w:r>
            <w:r>
              <w:rPr>
                <w:rFonts w:ascii="Times New Roman;Times;Serif" w:hAnsi="Times New Roman;Times;Serif"/>
                <w:b/>
                <w:i/>
                <w:sz w:val="20"/>
              </w:rPr>
              <w:t>Governing Law.</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9.7. </w:t>
            </w:r>
            <w:r>
              <w:rPr>
                <w:rFonts w:ascii="Times New Roman;Times;Serif" w:hAnsi="Times New Roman;Times;Serif"/>
                <w:b/>
                <w:i/>
                <w:sz w:val="20"/>
              </w:rPr>
              <w:t>Dispute Resolution.</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9.8. </w:t>
            </w:r>
            <w:r>
              <w:rPr>
                <w:rFonts w:ascii="Times New Roman;Times;Serif" w:hAnsi="Times New Roman;Times;Serif"/>
                <w:b/>
                <w:i/>
                <w:sz w:val="20"/>
              </w:rPr>
              <w:t>Performance Pending Dispute Resolution</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9.9. </w:t>
            </w:r>
            <w:r>
              <w:rPr>
                <w:rFonts w:ascii="Times New Roman;Times;Serif" w:hAnsi="Times New Roman;Times;Serif"/>
                <w:b/>
                <w:i/>
                <w:sz w:val="20"/>
              </w:rPr>
              <w:t>Specific Performance</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9.10. </w:t>
            </w:r>
            <w:r>
              <w:rPr>
                <w:rFonts w:ascii="Times New Roman;Times;Serif" w:hAnsi="Times New Roman;Times;Serif"/>
                <w:b/>
                <w:i/>
                <w:sz w:val="20"/>
              </w:rPr>
              <w:t>Counterparts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9.11. </w:t>
            </w:r>
            <w:r>
              <w:rPr>
                <w:rFonts w:ascii="Times New Roman;Times;Serif" w:hAnsi="Times New Roman;Times;Serif"/>
                <w:b/>
                <w:i/>
                <w:sz w:val="20"/>
              </w:rPr>
              <w:t>Third-Party Beneficiaries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Section 9.12. </w:t>
            </w:r>
            <w:r>
              <w:rPr>
                <w:rFonts w:ascii="Times New Roman;Times;Serif" w:hAnsi="Times New Roman;Times;Serif"/>
                <w:b/>
                <w:i/>
                <w:sz w:val="20"/>
              </w:rPr>
              <w:t>Expenses</w:t>
            </w:r>
            <w:r>
              <w:rPr>
                <w:rFonts w:ascii="Times New Roman;Times;Serif" w:hAnsi="Times New Roman;Times;Serif"/>
                <w:b/>
                <w:sz w:val="20"/>
              </w:rPr>
              <w:t>.</w:t>
            </w:r>
          </w:p>
        </w:tc>
        <w:tc>
          <w:tcPr>
            <w:tcW w:w="2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510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EXHIBIT A INSTRUMENT OF TRANSFER</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33</w:t>
            </w:r>
          </w:p>
        </w:tc>
      </w:tr>
      <w:tr>
        <w:trPr/>
        <w:tc>
          <w:tcPr>
            <w:tcW w:w="5105" w:type="dxa"/>
            <w:tcBorders/>
            <w:shd w:fill="FFFFFF" w:val="clear"/>
            <w:vAlign w:val="center"/>
          </w:tcPr>
          <w:p>
            <w:pPr>
              <w:pStyle w:val="TableContents"/>
              <w:bidi w:val="0"/>
              <w:spacing w:before="0" w:after="283"/>
              <w:jc w:val="left"/>
              <w:rPr>
                <w:caps/>
              </w:rPr>
            </w:pPr>
            <w:r>
              <w:rPr>
                <w:caps/>
              </w:rPr>
              <w:t> </w:t>
            </w:r>
          </w:p>
        </w:tc>
        <w:tc>
          <w:tcPr>
            <w:tcW w:w="275" w:type="dxa"/>
            <w:tcBorders/>
            <w:shd w:fill="FFFFFF" w:val="clear"/>
            <w:vAlign w:val="center"/>
          </w:tcPr>
          <w:p>
            <w:pPr>
              <w:pStyle w:val="TableContents"/>
              <w:bidi w:val="0"/>
              <w:spacing w:before="0" w:after="283"/>
              <w:jc w:val="right"/>
              <w:rPr>
                <w:caps/>
              </w:rPr>
            </w:pPr>
            <w:r>
              <w:rPr>
                <w:caps/>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EXHIBIT B Group chart of target Co.</w:t>
            </w:r>
          </w:p>
        </w:tc>
        <w:tc>
          <w:tcPr>
            <w:tcW w:w="275" w:type="dxa"/>
            <w:tcBorders/>
            <w:shd w:fill="CCEEFF" w:val="clear"/>
            <w:vAlign w:val="center"/>
          </w:tcPr>
          <w:p>
            <w:pPr>
              <w:pStyle w:val="TableContents"/>
              <w:bidi w:val="0"/>
              <w:spacing w:before="0" w:after="283"/>
              <w:jc w:val="right"/>
              <w:rPr>
                <w:rFonts w:ascii="Times New Roman;Times;Serif" w:hAnsi="Times New Roman;Times;Serif"/>
                <w:b/>
                <w:caps/>
              </w:rPr>
            </w:pPr>
            <w:r>
              <w:rPr>
                <w:rFonts w:ascii="Times New Roman;Times;Serif" w:hAnsi="Times New Roman;Times;Serif"/>
                <w:b/>
                <w:caps/>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TRANSACTION AGREEMENT</w:t>
      </w:r>
      <w:r>
        <w:rPr>
          <w:rFonts w:ascii="Times New Roman;Times;Serif" w:hAnsi="Times New Roman;Times;Serif"/>
          <w:b w:val="false"/>
          <w:i w:val="false"/>
          <w:caps w:val="false"/>
          <w:smallCaps w:val="false"/>
          <w:sz w:val="20"/>
        </w:rPr>
        <w:t xml:space="preserve"> (as may be amended, restated, supplemented or varied in accordance with the terms herein,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effective as of October 19, 2026, by and among:</w:t>
      </w:r>
    </w:p>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both"/>
              <w:rPr/>
            </w:pPr>
            <w:r>
              <w:rPr/>
              <w:t>(1)</w:t>
            </w:r>
          </w:p>
        </w:tc>
        <w:tc>
          <w:tcPr>
            <w:tcW w:w="9896" w:type="dxa"/>
            <w:tcBorders/>
            <w:vAlign w:val="center"/>
          </w:tcPr>
          <w:p>
            <w:pPr>
              <w:pStyle w:val="TableContents"/>
              <w:bidi w:val="0"/>
              <w:spacing w:before="0" w:after="283"/>
              <w:jc w:val="both"/>
              <w:rPr/>
            </w:pPr>
            <w:r>
              <w:rPr/>
              <w:t>AIOS Tech Inc., a business company duly incorporated with limited liability under the laws of the British Virgin Islands (the “</w:t>
            </w:r>
            <w:r>
              <w:rPr>
                <w:b/>
              </w:rPr>
              <w:t>Buyer</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(2)</w:t>
            </w:r>
          </w:p>
        </w:tc>
        <w:tc>
          <w:tcPr>
            <w:tcW w:w="9886" w:type="dxa"/>
            <w:tcBorders/>
            <w:vAlign w:val="center"/>
          </w:tcPr>
          <w:p>
            <w:pPr>
              <w:pStyle w:val="TableContents"/>
              <w:bidi w:val="0"/>
              <w:spacing w:before="0" w:after="283"/>
              <w:jc w:val="both"/>
              <w:rPr/>
            </w:pPr>
            <w:r>
              <w:rPr/>
              <w:t>Better Way Holdings Limited, a limited company duly incorporated under the laws of Hong Kong (“</w:t>
            </w:r>
            <w:r>
              <w:rPr>
                <w:b/>
              </w:rPr>
              <w:t>Better Way</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both"/>
              <w:rPr/>
            </w:pPr>
            <w:r>
              <w:rPr/>
              <w:t>(3)</w:t>
            </w:r>
          </w:p>
        </w:tc>
        <w:tc>
          <w:tcPr>
            <w:tcW w:w="9890" w:type="dxa"/>
            <w:tcBorders/>
            <w:vAlign w:val="center"/>
          </w:tcPr>
          <w:p>
            <w:pPr>
              <w:pStyle w:val="TableContents"/>
              <w:bidi w:val="0"/>
              <w:spacing w:before="0" w:after="283"/>
              <w:jc w:val="both"/>
              <w:rPr/>
            </w:pPr>
            <w:r>
              <w:rPr/>
              <w:t>Novo Spring Management Limited, a limited company duly incorporated under the laws of Hong Kong (“</w:t>
            </w:r>
            <w:r>
              <w:rPr>
                <w:b/>
              </w:rPr>
              <w:t>Novo Spring</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(4)</w:t>
            </w:r>
          </w:p>
        </w:tc>
        <w:tc>
          <w:tcPr>
            <w:tcW w:w="9917" w:type="dxa"/>
            <w:tcBorders/>
            <w:vAlign w:val="center"/>
          </w:tcPr>
          <w:p>
            <w:pPr>
              <w:pStyle w:val="TableContents"/>
              <w:bidi w:val="0"/>
              <w:spacing w:before="0" w:after="283"/>
              <w:jc w:val="both"/>
              <w:rPr/>
            </w:pPr>
            <w:r>
              <w:rPr/>
              <w:t>Cloud Spring Limited, a limited company duly incorporated under the laws of Hong Kong (“</w:t>
            </w:r>
            <w:r>
              <w:rPr>
                <w:b/>
              </w:rPr>
              <w:t>Cloud Spring</w:t>
            </w:r>
            <w:r>
              <w:rPr/>
              <w:t>”) (</w:t>
            </w:r>
            <w:r>
              <w:rPr>
                <w:b/>
              </w:rPr>
              <w:t>Better Way and Novo Spring, together with Cloud Spring</w:t>
            </w:r>
            <w:r>
              <w:rPr/>
              <w:t>, the “</w:t>
            </w:r>
            <w:r>
              <w:rPr>
                <w:b/>
              </w:rPr>
              <w:t>Sellers</w:t>
            </w:r>
            <w:r>
              <w:rPr/>
              <w:t>” and each a “</w:t>
            </w:r>
            <w:r>
              <w:rPr>
                <w:b/>
              </w:rPr>
              <w:t>Seller</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both"/>
              <w:rPr/>
            </w:pPr>
            <w:r>
              <w:rPr/>
              <w:t>(5)</w:t>
            </w:r>
          </w:p>
        </w:tc>
        <w:tc>
          <w:tcPr>
            <w:tcW w:w="9893" w:type="dxa"/>
            <w:tcBorders/>
            <w:vAlign w:val="center"/>
          </w:tcPr>
          <w:p>
            <w:pPr>
              <w:pStyle w:val="TableContents"/>
              <w:bidi w:val="0"/>
              <w:spacing w:before="0" w:after="283"/>
              <w:jc w:val="both"/>
              <w:rPr/>
            </w:pPr>
            <w:r>
              <w:rPr/>
              <w:t>SmartCore Holdings Limited, a business company duly incorporated under the laws of the British Virgin Islands (“</w:t>
            </w:r>
            <w:r>
              <w:rPr>
                <w:b/>
              </w:rPr>
              <w:t>Target Co.</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9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(6)</w:t>
            </w:r>
          </w:p>
        </w:tc>
        <w:tc>
          <w:tcPr>
            <w:tcW w:w="8765" w:type="dxa"/>
            <w:tcBorders/>
            <w:vAlign w:val="center"/>
          </w:tcPr>
          <w:p>
            <w:pPr>
              <w:pStyle w:val="TableContents"/>
              <w:bidi w:val="0"/>
              <w:spacing w:before="0" w:after="283"/>
              <w:jc w:val="both"/>
              <w:rPr/>
            </w:pPr>
            <w:r>
              <w:rPr/>
              <w:t>Aimatrix Limited, a company duly incorporated under the laws of Hong Kong (“Aimatrix”);</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both"/>
              <w:rPr/>
            </w:pPr>
            <w:r>
              <w:rPr/>
              <w:t>(7)</w:t>
            </w:r>
          </w:p>
        </w:tc>
        <w:tc>
          <w:tcPr>
            <w:tcW w:w="9879" w:type="dxa"/>
            <w:tcBorders/>
            <w:vAlign w:val="center"/>
          </w:tcPr>
          <w:p>
            <w:pPr>
              <w:pStyle w:val="TableContents"/>
              <w:bidi w:val="0"/>
              <w:spacing w:before="0" w:after="283"/>
              <w:jc w:val="both"/>
              <w:rPr/>
            </w:pPr>
            <w:r>
              <w:rPr/>
              <w:t>Happy Fortune Data Limited, a company duly incorporated under the laws of Macau (“</w:t>
            </w:r>
            <w:r>
              <w:rPr>
                <w:b/>
              </w:rPr>
              <w:t>Happy Fortune</w:t>
            </w:r>
            <w:r>
              <w:rPr/>
              <w:t>”);</w:t>
            </w:r>
          </w:p>
        </w:tc>
      </w:tr>
    </w:tbl>
    <w:p>
      <w:pPr>
        <w:pStyle w:val="TextBody"/>
        <w:bidi w:val="0"/>
        <w:spacing w:before="0" w:after="0"/>
        <w:ind w:left="1160" w:right="0" w:hanging="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both"/>
              <w:rPr/>
            </w:pPr>
            <w:r>
              <w:rPr/>
              <w:t>(8)</w:t>
            </w:r>
          </w:p>
        </w:tc>
        <w:tc>
          <w:tcPr>
            <w:tcW w:w="9882" w:type="dxa"/>
            <w:tcBorders/>
            <w:vAlign w:val="center"/>
          </w:tcPr>
          <w:p>
            <w:pPr>
              <w:pStyle w:val="TableContents"/>
              <w:bidi w:val="0"/>
              <w:spacing w:before="0" w:after="283"/>
              <w:jc w:val="both"/>
              <w:rPr/>
            </w:pPr>
            <w:r>
              <w:rPr/>
              <w:t>Coco Cloud Technology Pte. Ltd., a company duly incorporated under the laws of Singapore (“Coco Cloud”);</w:t>
            </w:r>
          </w:p>
        </w:tc>
      </w:tr>
    </w:tbl>
    <w:p>
      <w:pPr>
        <w:pStyle w:val="TextBody"/>
        <w:bidi w:val="0"/>
        <w:spacing w:before="0" w:after="0"/>
        <w:ind w:left="1160" w:right="0" w:hanging="44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(9)</w:t>
            </w:r>
          </w:p>
        </w:tc>
        <w:tc>
          <w:tcPr>
            <w:tcW w:w="9665" w:type="dxa"/>
            <w:tcBorders/>
            <w:vAlign w:val="center"/>
          </w:tcPr>
          <w:p>
            <w:pPr>
              <w:pStyle w:val="TableContents"/>
              <w:bidi w:val="0"/>
              <w:spacing w:before="0" w:after="283"/>
              <w:jc w:val="both"/>
              <w:rPr/>
            </w:pPr>
            <w:r>
              <w:rPr/>
              <w:t>EasyPay (Thailand) Co., Ltd., a company duly incorporated under the laws of Thailand (“</w:t>
            </w:r>
            <w:r>
              <w:rPr>
                <w:b/>
              </w:rPr>
              <w:t>EasyPay</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this Agreement is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of this Agreement, the Sellers collectively own 10,000 ordinary shares of Target Co. with par value of US$1.0 per share (such shares, the “</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of which Better Way, Novo Spring and Cloud Spring own 88.6%, 5.4% and 6.0%, respectively, which constitute all of the issued and outstanding equity securities of Target 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Sellers and the other relevant parties intend to conduct a series of restructuring and reorganization arrangements (collectively, the “</w:t>
      </w:r>
      <w:r>
        <w:rPr>
          <w:rFonts w:ascii="Times New Roman;Times;Serif" w:hAnsi="Times New Roman;Times;Serif"/>
          <w:b/>
          <w:i w:val="false"/>
          <w:caps w:val="false"/>
          <w:smallCaps w:val="false"/>
          <w:sz w:val="20"/>
        </w:rPr>
        <w:t>Reorganization</w:t>
      </w:r>
      <w:r>
        <w:rPr>
          <w:rFonts w:ascii="Times New Roman;Times;Serif" w:hAnsi="Times New Roman;Times;Serif"/>
          <w:b w:val="false"/>
          <w:i w:val="false"/>
          <w:caps w:val="false"/>
          <w:smallCaps w:val="false"/>
          <w:sz w:val="20"/>
        </w:rPr>
        <w:t>”), such that, after the completion of the Reorganization and immediately prior to the Closing, Aimatrix, Happy Fortune and Coco Cloud will be wholly owned by the Target Co. and EasyPay will be 80% indirectly owned by the Target 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Sellers desire to sell, transfer and deliver all of the Sale Shares to the Buyer, and the Buyer desires to purchase and accept the Sale Shares, in consideration of the issuance of the Buyer’s Class A common shares to the Sellers, in the aggregate, pursuant to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furtherance of the foregoing, the total Consideration (as defined below) shall be US$100,000,000, which shall consist of:</w:t>
      </w:r>
    </w:p>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7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33,333,334 Buyer Shares (as defined below)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which shall be issued by the Buyer to the Sellers at Closing (as defined below). The number of the Consideration Shares shall be the result of dividing (x) US$100,000,000 by (y) the per share purchase price of US$3.00, rounded up to the nearest whole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accordingly, based on the respective shareholding of the Sellers in the Target Co., the Buyer will issue 29,533,334 Buyer Shares to Better Way (such shares, the “</w:t>
      </w:r>
      <w:r>
        <w:rPr>
          <w:rFonts w:ascii="Times New Roman;Times;Serif" w:hAnsi="Times New Roman;Times;Serif"/>
          <w:b/>
          <w:i w:val="false"/>
          <w:caps w:val="false"/>
          <w:smallCaps w:val="false"/>
          <w:sz w:val="20"/>
        </w:rPr>
        <w:t>Consideration Shares of Better Way</w:t>
      </w:r>
      <w:r>
        <w:rPr>
          <w:rFonts w:ascii="Times New Roman;Times;Serif" w:hAnsi="Times New Roman;Times;Serif"/>
          <w:b w:val="false"/>
          <w:i w:val="false"/>
          <w:caps w:val="false"/>
          <w:smallCaps w:val="false"/>
          <w:sz w:val="20"/>
        </w:rPr>
        <w:t>”), 2,000,000 Buyer Shares to Cloud Spring and 1,800,000 Buyer Shares to Novo Spring.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make certain representations, warranties, covenants and agreements in connection with this Agreement and the transactions contemplated hereby and to prescribe certain conditions with respect to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set forth above and the Parties’ respective representations, warranties, covenants and agreements contained in this Agreement, as well as other good and valuable consideration, the receipt and sufficiency of which are hereby acknowledged, the Parties agree as follows:</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Interpretation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in addition to the words and expressions defined elsewhere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with respect to any Person that is a natural person, (i) any other Person that is directly or indirectly Controlled by such Person, (ii) such Person’s spouse, lineal descendant (whether natural or adopted), brother, sister, or parent, and/or (iii) any estate, trust or partnership that is established by or for the benefit of such Person or any Person described in (ii), in each case, that is directly or indirectly Controlled by such Person, and (b) with respect to any Person that is not a natural person, any other Person that is directly or indirectly Controlling, Controlled by or under common Control with such Person. For the avoidance of doubt, any Buyer Group Company shall not be deemed to be an Affiliate of any Target Co. Group Company, and any Target Co. Group Company shall not be deemed to be an Affiliate of any Buyer Group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transnational, foreign or domestic federal, provincial, state or local law, statute, ordinance, treaty, constitution, regulation, rule, code, Order, authoritative interpretation or other requirement or rule of law, including common law, as may be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Approvals</w:t>
      </w:r>
      <w:r>
        <w:rPr>
          <w:rFonts w:ascii="Times New Roman;Times;Serif" w:hAnsi="Times New Roman;Times;Serif"/>
          <w:b w:val="false"/>
          <w:i w:val="false"/>
          <w:caps w:val="false"/>
          <w:smallCaps w:val="false"/>
          <w:sz w:val="20"/>
        </w:rPr>
        <w:t>” means any license, consent, authorization, order, confirmation, qualification, permission, certificate, approval, authorization, record-filing, registration, permit, waiver and/or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other day on which commercial banks in Hong Kong, the PRC, the British Virgin Islands, are authorized or required by Applicable Laws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Buyer Group Companies</w:t>
      </w:r>
      <w:r>
        <w:rPr>
          <w:rFonts w:ascii="Times New Roman;Times;Serif" w:hAnsi="Times New Roman;Times;Serif"/>
          <w:b w:val="false"/>
          <w:i w:val="false"/>
          <w:caps w:val="false"/>
          <w:smallCaps w:val="false"/>
          <w:sz w:val="20"/>
        </w:rPr>
        <w:t>” means the Buyer and its Subsidiaries from time to time, and each a “</w:t>
      </w:r>
      <w:r>
        <w:rPr>
          <w:rFonts w:ascii="Times New Roman;Times;Serif" w:hAnsi="Times New Roman;Times;Serif"/>
          <w:b/>
          <w:i w:val="false"/>
          <w:caps w:val="false"/>
          <w:smallCaps w:val="false"/>
          <w:sz w:val="20"/>
        </w:rPr>
        <w:t>Buyer Group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Material Adverse Effect</w:t>
      </w:r>
      <w:r>
        <w:rPr>
          <w:rFonts w:ascii="Times New Roman;Times;Serif" w:hAnsi="Times New Roman;Times;Serif"/>
          <w:b w:val="false"/>
          <w:i w:val="false"/>
          <w:caps w:val="false"/>
          <w:smallCaps w:val="false"/>
          <w:sz w:val="20"/>
        </w:rPr>
        <w:t xml:space="preserve">” means any event, circumstance, development, change or effect that, individually or in the aggregate, has or would reasonably be expected to have a material adverse effect on (a) the business, properties, assets, Liabilities, operations, results of operations or financial condition of the Buyer Group Companies, taken as a whole, or (b) the authority or ability of the Buyer to perform its obligations under this Agreement or any of the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(a) above, in no event shall any of the following exceptions, alone or in combination with the other enumerated exceptions below, be deemed to constitute, a Buyer Material Adverse Effect: (i) any effect resulting from compliance with the terms and conditions of, or from the announcement of the transactions contemplated by this Agreement and/or any Transaction Agreement, (ii) any effect that results from changes affecting the industries in which the Buyer or the Buyer Group Companies operate generally, (iii) any effect that results from changes affecting general worldwide economic conditions,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changes in (ii) and (iii) do not disproportionately affect the Buyer Group Companies, taken as a whole, in any material respect relative to other similarly situated participants in the industry in which they operate, with comparable business volume and similar development stage, (iv) any pandemic, earthquake, typhoon, tornado or other natural disaster or similar force majeure event, or (v) any failure to meet any internal or public projections, forecasts or guidance,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underlying causes that lead to any failure to meet any internal or public projections, forecasts or guidance as set forth in (v) are not included under this clause (v).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Public Reports</w:t>
      </w:r>
      <w:r>
        <w:rPr>
          <w:rFonts w:ascii="Times New Roman;Times;Serif" w:hAnsi="Times New Roman;Times;Serif"/>
          <w:b w:val="false"/>
          <w:i w:val="false"/>
          <w:caps w:val="false"/>
          <w:smallCaps w:val="false"/>
          <w:sz w:val="20"/>
        </w:rPr>
        <w:t>” means the annual reports of the Buyer for the fiscal years ended December 31, 2024 and 2025, as publicly filed by the Buyer with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Buyer Shares” means the Class A common shares of AIOS Tech Inc., par value US$0.0001 per share (or of such other securities as shall result from a subdivision, consolidation, re-classification or re-construction of such shares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as to any Person, the power to direct or cause the direction of the management and policies of such Person, whether through the ownership of voting securities, by contract or otherwise. The terms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Buyer Representations</w:t>
      </w:r>
      <w:r>
        <w:rPr>
          <w:rFonts w:ascii="Times New Roman;Times;Serif" w:hAnsi="Times New Roman;Times;Serif"/>
          <w:b w:val="false"/>
          <w:i w:val="false"/>
          <w:caps w:val="false"/>
          <w:smallCaps w:val="false"/>
          <w:sz w:val="20"/>
        </w:rPr>
        <w:t>” means the representations and warranties by Buyer in Section 3.2, Section 3.3, Section 3.4, Section 3.5, Section 3.7(b), Section 3.13, and Section 3.15.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Seller Representations</w:t>
      </w:r>
      <w:r>
        <w:rPr>
          <w:rFonts w:ascii="Times New Roman;Times;Serif" w:hAnsi="Times New Roman;Times;Serif"/>
          <w:b w:val="false"/>
          <w:i w:val="false"/>
          <w:caps w:val="false"/>
          <w:smallCaps w:val="false"/>
          <w:sz w:val="20"/>
        </w:rPr>
        <w:t>” means the representations and warranties by the Sellers in Section 4.3, Section 4.4, Section 4.5, Section 4.10, Section 4.12 and Section 4.15.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international, transnational, national, domestic or foreign, federal, state, prefecture, regional or local government, department, division or subdivision, governmental, regulatory or administrative agency, administration, board, authority, commission, instrumentality or other body, self-regulatory organization or any court, tribunal or other judicial or arbitral body, or any governing body of a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means the Hong Kong Special Administrative Region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means the Buyer pursuant to Section 7.2, and the Sellers pursuant to Section 7.4,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intellectual property or similar proprietary rights, including all trademarks, service marks, business or trade names, trading goodwill, Internet domain names, social media identifiers or accounts, designs (whether registered or unregistered), patents, copyrights, database rights, confidential information, trade secrets, know-how and all registrations and applications for registration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shall mean, with respect to any Person, the actual knowledge of such Person, and that knowledge which should have been acquired by such Person after making such due inquiry and exercising such due diligence as a prudent business person would have made or exercised in the management of his or her business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liability or obligation of any kind or description, whether accrued, contingent, absolute, determined, determinable, known, unknown or otherwise, and whether presently in existence as of the date of this Agreement or arising 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charge, debenture, lien, mortgage, security interest, pledge deposit, encumbrance, assignment, hypothecation, title retention, right of pre-emption, assignment, deed of trust, other security agreement or arrangement or other type of preferential arrangement having similar effect, any voting proxy, power of attorney, voting trust arrangement, interest, exclusive license of Intellectual Property, right of first refusal or any adverse claim as to title, possession or use and all other rights or interests exercisable by, or claims by, third parties, irrespective of whether such Lien arises under any agreement or other instrument, operation of law or by means of a judgment, order or decree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 Stop Date</w:t>
      </w:r>
      <w:r>
        <w:rPr>
          <w:rFonts w:ascii="Times New Roman;Times;Serif" w:hAnsi="Times New Roman;Times;Serif"/>
          <w:b w:val="false"/>
          <w:i w:val="false"/>
          <w:caps w:val="false"/>
          <w:smallCaps w:val="false"/>
          <w:sz w:val="20"/>
        </w:rPr>
        <w:t>” means the six (6) -month anniversary of the date of this Agreement or other date that is agreed upon in writing by the Sellers and the Buyer after the initial six (6)-month anniversary.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judgment, injunction, decree, stipulation, ruling, decision, verdict, determination or award made, issued or entered by or with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memorandum, certificate of incorporation, articles of association or any other similar documents adopted or filed in connection with the creation, formation or organization of such Person and (b) the by-laws, voting agreements and similar documents, instruments or agreements relating to the organization or governance of such Person, in each case, as amended, supplemented or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corporation, company, limited liability company, firm, association, joint-stock company, trust, joint venture, unincorporated organization, institution, trust or agency, Governmental Authority or other entity of any kind, whether or not having a separate legal personality.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the People’s Republic of China, excluding, for purposes of this Agreement, Hong Kong, Taiwan and Macau Special Administrative Region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claim, demand, suit, litigation, arbitration, proceeding, audit or investigation brought by or before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SAMR</w:t>
      </w:r>
      <w:r>
        <w:rPr>
          <w:rFonts w:ascii="Times New Roman;Times;Serif" w:hAnsi="Times New Roman;Times;Serif"/>
          <w:b w:val="false"/>
          <w:i w:val="false"/>
          <w:caps w:val="false"/>
          <w:smallCaps w:val="false"/>
          <w:sz w:val="20"/>
        </w:rPr>
        <w:t>” means the State Administration for Market Regulation of the PRC and its local branches.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means, collectively, all statements, reports, schedules, forms and other documents required to be filed or furnished by the Buyer or the Sellers (as the case may be) to or with the SEC pursuant to the listing rules and regulations from time to time, together with all exhibits included therein and financial statements, notes and schedules thereto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any other Person that is Controlled by the first-mentioned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Co. Group Companies</w:t>
      </w:r>
      <w:r>
        <w:rPr>
          <w:rFonts w:ascii="Times New Roman;Times;Serif" w:hAnsi="Times New Roman;Times;Serif"/>
          <w:b w:val="false"/>
          <w:i w:val="false"/>
          <w:caps w:val="false"/>
          <w:smallCaps w:val="false"/>
          <w:sz w:val="20"/>
        </w:rPr>
        <w:t>” means Target Co. and its Subsidiaries from time to time, and each a “</w:t>
      </w:r>
      <w:r>
        <w:rPr>
          <w:rFonts w:ascii="Times New Roman;Times;Serif" w:hAnsi="Times New Roman;Times;Serif"/>
          <w:b/>
          <w:i w:val="false"/>
          <w:caps w:val="false"/>
          <w:smallCaps w:val="false"/>
          <w:sz w:val="20"/>
        </w:rPr>
        <w:t>Target Co. Group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Co. Material Adverse Effect</w:t>
      </w:r>
      <w:r>
        <w:rPr>
          <w:rFonts w:ascii="Times New Roman;Times;Serif" w:hAnsi="Times New Roman;Times;Serif"/>
          <w:b w:val="false"/>
          <w:i w:val="false"/>
          <w:caps w:val="false"/>
          <w:smallCaps w:val="false"/>
          <w:sz w:val="20"/>
        </w:rPr>
        <w:t xml:space="preserve">” means any event, circumstance, development, change or effect that, individually or in the aggregate, has or would reasonably be expected to have a material adverse effect on (a) the business, properties, assets, Liabilities, operations, results of operations or financial condition of the Target Co. Group Companies, taken as a whole, or (b) the authority or ability of Target Co. to perform its obligations under this Agreement or any of the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(a) above, in no event shall any of the following exceptions, alone or in combination with the other enumerated exceptions below, be deemed to constitute, a Target Co. Material Adverse Effect: (i) any effect resulting from compliance with the terms and conditions of, or from the announcement of the transactions contemplated by this Agreement and/or any Transaction Agreement, (ii) any effect that results from changes affecting the industries in which Target Co. or the Target Co. Group Companies operate generally, (iii) any effect that results from changes affecting general worldwide economic conditions,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changes in (ii) and (iii) do not disproportionately affect the Target Co. Group Companies, taken as a whole, in any material respect relative to other similarly situated participants in the industry, in which they operate with comparable business volume and similar development stage, (iv) any pandemic, earthquake, typhoon, tornado or other natural disaster or similar force majeure event, or (v) any failure to meet any internal or public projections, forecasts or guidance,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underlying causes that lead to any failure to meet any internal or public projections, forecasts or guidance as set forth in (v) are not included under this clause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information return or statement or other document required to be filed with respect to tax, including any schedule or attachment thereto, and including any amendment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means this Agreement, any instrument of transfer substantially in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group chart of Target Co. before closing substantially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 and any other agreement, document or instrument entered into or delivered in connection with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United States dollar, the lawful currency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HK$</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HKD</w:t>
      </w:r>
      <w:r>
        <w:rPr>
          <w:rFonts w:ascii="Times New Roman;Times;Serif" w:hAnsi="Times New Roman;Times;Serif"/>
          <w:b w:val="false"/>
          <w:i w:val="false"/>
          <w:caps w:val="false"/>
          <w:smallCaps w:val="false"/>
          <w:sz w:val="20"/>
        </w:rPr>
        <w:t>” means the Hong Kong dollar, the lawful currency of 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construed according to its fair language. The rule of construction to the effect that ambiguities are to be resolved against the drafting party shall not be employed in interpreting this Agreement. For the purposes of this Agreement,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email and other electronic media) in a visible form. References to any agreement or contract are to that agreement or contract as amended, modified or supplemented from time to time in accordance with the terms hereof and thereof. References to any law include all rules and regulations promulgated thereunder and as amended, modified or supplemented from time to time. References to any Person include the successors and permitted assigns of that Person. References from or through any date mean, unless otherwise specified, from and including or through and including, respectively, and any time of day is a reference to China Standard Time (unless otherwise specified), and if the date on or by which something must be done is not a Business Day, that thing must be done on or by the Business Day immediately following such day.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Share Transfer and Share Issuance</w:t>
      </w:r>
    </w:p>
    <w:p>
      <w:pPr>
        <w:pStyle w:val="TextBody"/>
        <w:bidi w:val="0"/>
        <w:spacing w:before="0" w:after="0"/>
        <w:ind w:left="0" w:right="0" w:firstLine="5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hereof, the Sellers agree to sell, transfer and deliver to </w:t>
      </w:r>
      <w:r>
        <w:rPr>
          <w:rFonts w:ascii="Times New Roman;Times;Serif" w:hAnsi="Times New Roman;Times;Serif"/>
          <w:b/>
          <w:i w:val="false"/>
          <w:caps w:val="false"/>
          <w:smallCaps w:val="false"/>
          <w:sz w:val="20"/>
        </w:rPr>
        <w:t>the Buyer or its designated subsidiary</w:t>
      </w:r>
      <w:r>
        <w:rPr>
          <w:rFonts w:ascii="Times New Roman;Times;Serif" w:hAnsi="Times New Roman;Times;Serif"/>
          <w:b w:val="false"/>
          <w:i w:val="false"/>
          <w:caps w:val="false"/>
          <w:smallCaps w:val="false"/>
          <w:sz w:val="20"/>
        </w:rPr>
        <w:t>, at the Closing, all of the Sale Shares, free and clear of all Liens and together with all rights attached or accruing to them at the Closing Date (such transaction, the “</w:t>
      </w:r>
      <w:r>
        <w:rPr>
          <w:rFonts w:ascii="Times New Roman;Times;Serif" w:hAnsi="Times New Roman;Times;Serif"/>
          <w:b/>
          <w:i w:val="false"/>
          <w:caps w:val="false"/>
          <w:smallCaps w:val="false"/>
          <w:sz w:val="20"/>
        </w:rPr>
        <w:t>Share Transfer</w:t>
      </w:r>
      <w:r>
        <w:rPr>
          <w:rFonts w:ascii="Times New Roman;Times;Serif" w:hAnsi="Times New Roman;Times;Serif"/>
          <w:b w:val="false"/>
          <w:i w:val="false"/>
          <w:caps w:val="false"/>
          <w:smallCaps w:val="false"/>
          <w:sz w:val="20"/>
        </w:rPr>
        <w:t>”), and the Buyer agrees to:</w:t>
      </w:r>
    </w:p>
    <w:p>
      <w:pPr>
        <w:pStyle w:val="TextBody"/>
        <w:bidi w:val="0"/>
        <w:spacing w:before="0" w:after="0"/>
        <w:ind w:left="0" w:right="0" w:firstLine="5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to the Sellers, at the Closing, all of the Consideration Shares free and clear of all Liens and together with all rights attached or accruing to them at the Closing Date (such transaction, the “</w:t>
      </w:r>
      <w:r>
        <w:rPr>
          <w:rFonts w:ascii="Times New Roman;Times;Serif" w:hAnsi="Times New Roman;Times;Serif"/>
          <w:b/>
          <w:i w:val="false"/>
          <w:caps w:val="false"/>
          <w:smallCaps w:val="false"/>
          <w:sz w:val="20"/>
        </w:rPr>
        <w:t>Share Issuance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caps w:val="false"/>
          <w:smallCaps w:val="false"/>
          <w:sz w:val="20"/>
        </w:rPr>
        <w:t>Closing.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Share Transfer and the Share Issuance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take place via the remote exchange of documents and signatures on a date as soon as possible but in any event no later than the fifth (5th) Business Day after the satisfaction or valid waiver by the relevant Party of each of the conditions set forth in Section 5.1, Section 5.2 and Section 5.3 (except for the conditions that by their nature are to be satisfied at the Closing, but subject to the satisfaction or waiver of those conditions at the Closing), or at such other time and place as collectively agreed by the Buyer and the Sellers.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consummation of the Share Transfer and the Share Issuance shall occur concurrently.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the Buyer shall deliver or cause to be delivered to the Sellers: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Consideration Shares and the scanned copy of share certificate(s) representing the Consideration Shares, duly executed on behalf of the Buyer and registered in the name of the Sellers, the original copy of which shall be delivered to the Sellers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certified true copy of an excerpt of the register of members of the Buyer, reflecting the Sellers’ ownership of the Consideration Shares;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scanned copy of the board of directors’ resolutions of the Buyer, approving and consenting to, among other things, the execution, delivery and performance of this Agreement and any other Transaction Document to which the Buyer is a party, and the transactions contemplated hereby and thereby;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left"/>
        <w:rPr/>
      </w:pPr>
      <w:r>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certificate executed by a duly authorized officer of the Buyer, certifying to the fulfillment of the conditions specified in Section 5.1 and Section 5.2;</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not previously delivered, such documents, instruments and items required to be delivered in connection with the fulfillment of the conditions specified in Section 5.1 and Section 5.2.</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Closing, the Sellers shall deliver or cause to be delivered to the Buyer: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Sale Shares, and the scanned copy of share certificate(s) representing the Sale Shares, duly executed on behalf of Target Co. and registered in the name of the Buyer, the original copy of which shall be delivered to the Buyer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certified true copy of the register of members of Target Co., reflecting the Buyer’s ownership of the Sale Shares;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scanned copy of the resignation letters duly executed by such director(s) of Target Co. nominated by the Sellers, the original copy of which shall be delivered to Target Co.’s registered agent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scanned copy of the instrument of transfer evidencing the transfer of the Sale Shares to the Buyer, substantially in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duly executed by each Seller, the original copy of which shall be delivered to Target Co.’s registered agent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scanned copy of the directors’ resolutions of the Sellers, approving and consenting to, among other things, the execution, delivery and performance of this Agreement and any other Transaction Document to which each Seller is a party, and the transactions contemplated hereby and thereby;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certificate executed by a duly authorized officer of each Seller, certifying to the fulfillment of the conditions specified in Section 5.1 and Section 5.3;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not previously delivered, such documents, instruments and items required to be delivered in connection with the fulfillment of the conditions specified in Section 5.1 and Section 5.3.</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Closing, each Seller shall, and shall cause the relevant Target Co. Group Companies to, deliver (or cause to be delivered) to the Buyer (i) all chops and seals of the Target Co. Group Companies, including all company chops, financial chops, contract chops and other chops and seals (if any), (ii) all books, accounts records, tax files, tax reports and any other similar documents of the Target Co. Group Companies, (iii) all documents necessary to change the bank mandates of the Target Co. Group Companies in such manner as the Buyer requires and all online banking u-keys of the Target Co. Group Companies, and (iv) all licenses, Permits, physical assets and contracts of the Target Co. Group Companies.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Representations and Warranties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hereby represents and warrants, as of the date hereof and as of the Closing Date, that each of the following statements is true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caps w:val="false"/>
          <w:smallCaps w:val="false"/>
          <w:sz w:val="20"/>
        </w:rPr>
        <w:t>Accuracy of Disclosure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has filed or furnished, as applicable, on a timely basis, all the SEC Documents. As of their respective effective dates (in the case of the SEC Documents that are registration statements filed pursuant to the requirements of the Securities Act) and as of their respective SEC filing dates (in the case of all other SEC Documents), or in each case, if amended prior to the date hereof, as of the date of the last such amendment: (a) each of the SEC Documents complied in all material respects with the applicable requirements of the listing and corporate governance rules and regulations, and (b) none of the SEC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caps w:val="false"/>
          <w:smallCaps w:val="false"/>
          <w:sz w:val="20"/>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an entity duly organized or incorporated, validly existing and in good standing (to the extent such concept is applicable) under the laws of its jurisdiction of organization or incorporation and has full right, power and authority to execute and deliver this Agreement and each other Transaction Document to which it is or will be a party, to perform fully its obligations hereunder and thereunder and to consummate the transactions contemplated hereby and thereby. The Buyer has the requisite corporate power and authorization to own, lease and operate its properties and to carry on its business as now being conducted, except which have not had and would not constitute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caps w:val="false"/>
          <w:smallCaps w:val="false"/>
          <w:sz w:val="20"/>
        </w:rPr>
        <w:t>Authorization; Due Execution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each other Transaction Document to which it is or will be a party and the consummation of the transactions contemplated hereby and thereby have been duly authorized by all necessary action on the part of the Buyer. The Buyer has duly executed and delivered this Agreement and each other Transaction Document to which it is a party, and this Agreement and each such other Transaction Document constitutes a legal, valid and binding obligation of the Buyer enforceable against it in accordance with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each other Transaction Document to which it is or will be a party and the consummation of the transactions contemplated hereby and thereby do not and will not (with or without the giving of notice, the lapse of time or both) conflict with or result in a violation or breach of, or default under, (a) the Organizational Documents of the Buyer; (b) any Applicable Laws to which the Buyer or any of its properties or assets is subject; (c) any contract, agreement or other instrument applicable to the Buyer or any of its properties or assets, except, in the case of clauses ‎(a) and ‎(b) above, to the extent that such conflict, violation, breach or default, individually or in the aggregate, has not impaired or delayed, and will not impair or delay, the ability of the Buyer to perform its obligations under this Agreement or any other Transaction Document to which it is a party or to consummate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caps w:val="false"/>
          <w:smallCaps w:val="false"/>
          <w:sz w:val="20"/>
        </w:rPr>
        <w:t>Capitalization.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August 31, 2026, the authorised share capital of the Buyer consists of US$1,000,000.00 divided into 9,600,000,000 Class A common shares and 400,000,000 Class B common shares, of US$0.0001 par value each, of which 3,249,337 Class A common shares and 5,000,000 Class B common shares are issued and outstanding. All of the issued and outstanding shares of the Buyer are duly authorized, validly issued, fully paid and non-assessable.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set forth above in this Section 3.5 and except for the outstanding warrants to purchase 6,000,000 Class A common shares (as adjusted for the April 2026 share consolidation) issued in the Buyer’s February 2026 private placement, there are no outstanding (i) shares of capital stock or voting securities of the Buyer, (ii) securities of the Buyer (whether debt or equity) convertible into or exchangeable for shares of capital stock or voting securities of the Buyer, or (iii) preemptive or other outstanding rights, options, warrants, conversion rights, “phantom” stock rights, stock appreciation rights, redemption rights, repurchase rights, agreements, arrangements, calls, commitments or rights of any kind that obligate the Buyer to issue or sell any shares of capital stock or other securities of the Buyer or any securities or obligations convertible or exchangeable into or exercisable for, or giving any Person a right to subscribe for or acquire, any securities of the Buyer, and no securities or obligations evidencing such rights are authorized, issued or outstanding, or (iv) obligations of the Buyer to repurchase, redeem or otherwise acquire any capital stock or equity interests of the Buyer.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has sufficient authorized share capital to issue the Consideration Shares in accordance with this Agreement. The Consideration Shares when issued, allotted, transferred or exchanged, as the case may be, in accordance with the terms and for the consideration set forth in this Agreement, will be issued, allotted, transferred or exchanged, in compliance with Applicable Laws and Organizational Documents, duly authorized, validly issued, fully paid and non-assessable, free and clear of all Liens (except for Liens created or imposed by the Transaction Documents or under applicable securities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of the Consideration Shares shall not result in, or be reasonably expected to result in, any change of Control of the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Subsidiary of the Buyer has been duly organized, is validly existing and in good standing (to the extent such concept is applicable) under the laws of its jurisdiction of organization or incorporation, and has the requisite corporate power and authorization to own, lease and operate its properties and to carry on its business as now being conducted, except which have not had and would not constitute a Buyer Material Adverse Effect. Each Buyer Group Company is duly qualified or licensed to do business in each jurisdiction in which the property owned, leased or operated by it or the nature of the business conducted by it makes such qualification or licensing necessary, except where the failure to be so qualified or licensed would not, individually or in the aggregate, reasonably be expected to have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of the Buyer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the Buyer and its Subsidiaries except as would not, individually or in the aggregate, result in a Buyer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is, and the consummation of the transactions contemplated by this Agreement will be, in compliance in all material respects with the applicable listing and corporate governance rules and regulations of the SEC and NASDAQ. The Buyer has not taken any action designed to, or reasonably likely to have the effect of, delisting the Buyer’s Class A common shares from NASDAQ. The Buyer has not received from the SEC, NASDAQ and/or any other competent Governmental Authority any notification that the SEC, NASDAQ, and/or any other competent Governmental Authority has determined or is proposing to suspend or terminate such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any other Transaction Document to which it is or will be a party and the consummation of the transactions contemplated hereby and thereby do not and will not require any Approval issued or granted by, negative clearance from, or expiration or early termination of any waiting period imposed by, any Governmental Authority, except for the notification to NASDAQ on the Listing of Additional Shares form in respect of the Consideration Shares (the “NASDAQ Listing Authorization”) (if applicable and necessary)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caps w:val="false"/>
          <w:smallCaps w:val="false"/>
          <w:sz w:val="20"/>
        </w:rPr>
        <w:t>Financial Matters.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included in the Buyer Public Reports present fairly and accurately the financial condition of the Buyer Group Companies as of the dates therein indicated and the results of operations for the period or periods therein specified, all in accordance with United States General Accepted Accounting Principle (“US GAAP”) on a consistent basis throughout the periods therein specified (except as otherwise noted therein). The information set forth in the Buyer Public Reports is true and accurate in all material respects.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Buyer Public Reports, none of the Buyer Group Companies is a guarantor or indemnitor of any indebtedness of any other person or entity, nor any Buyer Group Company has any indebtedness or liability (contingent or otherwise) that it has directly or indirectly created, incurred, assumed, or guaranteed, or with respect to which such Buyer Group Company has otherwise become directly or indirectly liable, in each case, except any indebtedness or liability incurred since December 31, 2025 in the ordinary course of business consistent with past practices and/or any indebtedness or liability incurred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rPr>
        <w:t>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Group Companies have good and marketable title to all real property and other properties owned by them that is material to the business of the Buyer Group Companies taken as a whole, in each case free and clear of all Liens, except for Liens that do not materially affect the value of such property and do not materially interfere with the use made and proposed to be made of such property by the Buyer Group Companies. Any real property and facilities held under lease by the Buyer Group Companies that are material to the business of the Buyer Group Companies are held by the Buyer Group Companies under valid, subsisting and enforceable leases with which the Buyer Group Companies are in compliance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 the Buyer has not altered its method of accounting, and (b) the Buyer has not declared or made any dividend or distribution of cash or other property to its shareholders or purchased, redeemed or made any agreements to purchase or redeem any shares of its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is no Proceeding of any nature pending, or, to the Buyer’s Knowledge, threatened, in writing against the Buyer or any of its Subsidiaries, or, to the Buyer’s Knowledge, any of their respective directors or officers in their capacities as such, which would, individually or in the aggregate, have a Buyer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caps w:val="false"/>
          <w:smallCaps w:val="false"/>
          <w:sz w:val="20"/>
        </w:rPr>
        <w:t>Bankruptcy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not the subject of any insolvency or liquidation Proceeding or any reorganization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caps w:val="false"/>
          <w:smallCaps w:val="false"/>
          <w:sz w:val="20"/>
        </w:rPr>
        <w:t>Brokers’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investment banker, broker, finder or other intermediary which has been retained by or is authorized to act on behalf of the Buyer or any of its Subsidiaries who would be entitled to any fee or commission in connection with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caps w:val="false"/>
          <w:smallCaps w:val="false"/>
          <w:sz w:val="20"/>
        </w:rPr>
        <w:t>No Buyer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development or state of circumstances that has had, has or would reasonably be expected to, individually or aggregately, result in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caps w:val="false"/>
          <w:smallCaps w:val="false"/>
          <w:sz w:val="20"/>
        </w:rPr>
        <w:t>Independent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Buyer has conducted its own independent investigation, review and analysis of the business, operations, assets, liabilities, results of operations, financial condition and prospects of the Sellers and the Target Co. Group Companies, which investigation, review and analysis was done by the Buyer and its Affiliates and representatives. In entering into this Agreement, the Buyer acknowledges that each Seller and its representatives have not made any representations, warranties, estimates or projections, and it has not relied on any representations, warranties, estimates or projections of each Seller or its representatives, other than the representations and warranties of each Seller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Representations and Warranties of the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represents and warrants, as of the date hereof and as of the Closing Date, that each of the following statements is true and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caps w:val="false"/>
          <w:smallCaps w:val="false"/>
          <w:sz w:val="20"/>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and the Target Co. Group Companies is an entity duly organized or incorporated, validly existing and in good standing (to the extent such concept is applicable) under the laws of its jurisdiction of organization or incorporation and has full right, power and authority to execute and deliver this Agreement and each other Transaction Document to which it is or will be a party, to perform fully its obligations hereunder and thereunder and to consummate the transactions contemplated hereby and thereby. Each Target Co. Group Company has the requisite corporate power and authorization to own, lease and operate its properties and to carry on its business as now being conducted, except which have not had and would not constitute a Target Co.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caps w:val="false"/>
          <w:smallCaps w:val="false"/>
          <w:sz w:val="20"/>
        </w:rPr>
        <w:t>Authorization; Due Execution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of the Sellers and the Target Co. Group Companies of this Agreement and each other Transaction Document to which it is or will be a party and the consummation of the transactions contemplated hereby and thereby have been duly authorized by all necessary action on the part of it. Each of the Sellers and the Target Co. Group Companies has duly executed and delivered this Agreement and each other Transaction Document to which it is a party, and this Agreement and each such other Transaction Document constitutes a legal, valid and binding obligation of it against it in accordance with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of the Sellers and the Target Co. Group Companies of this Agreement and each other Transaction Document to which it is or will be a party and the consummation of the transactions contemplated hereby and thereby do not and will not (with or without the giving of notice, the lapse of time or both) conflict with or result in a violation or breach of, or default under, (a) its the Organizational Documents; (b) any Applicable Law to which it or any of its properties or assets is subject; (c) any contract, agreement or other instrument applicable to it or any of its properties or assets, except, in the case of clauses ‎(a) and ‎(b) above, to the extent that such conflict, violation, breach or default, individually or in the aggregate, has not impaired or delayed, and will not impair or delay, the ability of it to perform its obligations under this Agreement or any other Transaction Document to which it is a party or to consummate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caps w:val="false"/>
          <w:smallCaps w:val="false"/>
          <w:sz w:val="20"/>
        </w:rPr>
        <w:t>Capitalization.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immediately prior to the Closing, the authorized share capital of the Target Co. consists of US$10,000 divided into 10,000 ordinary shares of US$1.0 par value each, all of which are issued and outstanding. All of the issued and outstanding shares of the Target Co. are duly authorized, validly issued, fully paid and non-assessable and owned by the Sellers as of immediately prior to the Closing.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set forth above in this Section 4.4, there are no outstanding (i) shares of capital stock or voting securities of Target Co., (ii) securities of Target Co. (whether debt or equity) convertible into or exchangeable for shares of capital stock or voting securities of Target Co., or (iii) preemptive or other outstanding rights, options, warrants, conversion rights, “phantom” stock rights, stock appreciation rights, redemption rights, repurchase rights, agreements, arrangements, calls, commitments or rights of any kind that obligate Target Co. to issue or sell any shares of capital stock or other securities of Target Co. or any securities or obligations convertible or exchangeable into or exercisable for, or giving any Person a right to subscribe for or acquire, any securities of Target Co., and no securities or obligations evidencing such rights are authorized, issued or outstanding, or (iv) obligations of Target Co. to repurchase, redeem or otherwise acquire any capital stock or equity interests of Target Co..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the Closing, the Buyer shall own the Sale Shares, which shall represent 100% of Target Co.’s then total issued and outstanding shares, on an as-converted and fully-diluted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Target Co.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Target Co. and its Subsidiaries except as would not, individually or in the aggregate, result in a Target Co.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Target Co.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Target Co. and its Subsidiaries except as would not, individually or in the aggregate, result in a Target Co.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Sellers and Target Co. of this Agreement and any other Transaction Document to which it is or will be a party and the consummation of the transactions contemplated hereby and thereby do not and will not require any Approval issued or granted by, negative clearance from, or expiration or early termination of any waiting period imposed by,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caps w:val="false"/>
          <w:smallCaps w:val="false"/>
          <w:sz w:val="20"/>
        </w:rPr>
        <w:t>Financial Matters.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the Target Co. Group Companies as of and for the fiscal years ended December 31, 2024 and December 31, 2025 and the six months ended June 30, 2026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are attached to Section 4.8 of the Disclosure Letter, and present fairly and accurately the financial condition of Target Co. Group Companies as of the dates therein indicated and the results of operations for the period or periods therein specified, all in accordance with US GAAP on a consistent basis throughout the periods therein specified (except as otherwise noted therein). The information set forth in the Financial Statements is true and accurate in all material respects.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Financial Statements, none of Target Co. Group Companies is a guarantor or indemnitor of any indebtedness of any other person or entity, nor any Target Co. Group Company has any indebtedness or liability (contingent or otherwise) that it has directly or indirectly created, incurred, assumed, or guaranteed, or with respect to which such Target Co. Group Company has otherwise become directly or indirectly liable, in each case, except any indebtedness or liability incurred since December 31, 2025 in the ordinary course of business consistent with past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caps w:val="false"/>
          <w:smallCaps w:val="false"/>
          <w:sz w:val="20"/>
        </w:rPr>
        <w:t>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Group Companies have good and marketable title to all real property and other properties owned by them that is material to the business of Target Co. Group Companies taken as a whole, in each case free and clear of all Liens, except for Liens that do not materially affect the value of such property and do not materially interfere with the use made and proposed to be made of such property by Target Co. Group Companies. Any real property and facilities held under lease by Target Co. Group Companies that are material to the business of Target Co. Group Companies are held by Target Co. Group Companies under valid, subsisting and enforceable leases with which Target Co. Group Companies are in compliance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 the Target Co. Group Companies have not altered its method of accounting, and (b) Target Co. has not declared or made any dividend or distribution of cash or other property to its shareholders or purchased, redeemed or made any agreements to purchase or redeem any shares of its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is no Proceeding of any nature pending, or, to the Sellers’ Knowledge, threatened, in writing against Target Co. or any of its Subsidiaries, or, to the Sellers’ Knowledge, any of their respective directors or officers in their capacities as such, which would, individually or in the aggregate, have a Target Co.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Bankruptcy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is not the subject of any insolvency or liquidation Proceeding or any reorganization in any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caps w:val="false"/>
          <w:smallCaps w:val="false"/>
          <w:sz w:val="20"/>
        </w:rPr>
        <w:t>Brokers’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investment banker, broker, finder or other intermediary which has been retained by or is authorized to act on behalf of the Target Co. or any of its Subsidiaries who would be entitled to any fee or commission in connection with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caps w:val="false"/>
          <w:smallCaps w:val="false"/>
          <w:sz w:val="20"/>
        </w:rPr>
        <w:t>No Target Co.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development or state of circumstances that has had, has or would reasonably be expected to, individually or aggregately, result in a Target Co.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caps w:val="false"/>
          <w:smallCaps w:val="false"/>
          <w:sz w:val="20"/>
        </w:rPr>
        <w:t>Independent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Seller has conducted its own independent investigation, review and analysis of the business, operations, assets, liabilities, results of operations, financial condition and prospects of the Buyer Group Companies, which investigation, review and analysis was done by each Seller and its Affiliates and representatives. In entering into this Agreement, each Seller acknowledges that the Buyer and its representatives have not made any representations, warranties, estimates or projections, and it has not relied on any representations, warranties, estimates or projections of the Buyer or its representatives, other than the representations and warranties of the Buyer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caps w:val="false"/>
          <w:smallCaps w:val="false"/>
          <w:sz w:val="20"/>
        </w:rPr>
        <w:t>Conditions to the Obligation of the Sellers and the Buyer to Consummate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each of the Sellers and the Buyer, its obligations to consummate the Closing are subject to the satisfaction or waiver by it of the following conditions: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Applicable Law shall have been adopted, promulgated or enforced by any Governmental Authority, and no temporary restraining Order, preliminary or permanent injunction or other Order issued by any Governmental Authority of competent jurisdiction (an “</w:t>
      </w:r>
      <w:r>
        <w:rPr>
          <w:rFonts w:ascii="Times New Roman;Times;Serif" w:hAnsi="Times New Roman;Times;Serif"/>
          <w:b/>
          <w:i w:val="false"/>
          <w:caps w:val="false"/>
          <w:smallCaps w:val="false"/>
          <w:sz w:val="20"/>
        </w:rPr>
        <w:t>Injunction</w:t>
      </w:r>
      <w:r>
        <w:rPr>
          <w:rFonts w:ascii="Times New Roman;Times;Serif" w:hAnsi="Times New Roman;Times;Serif"/>
          <w:b w:val="false"/>
          <w:i w:val="false"/>
          <w:caps w:val="false"/>
          <w:smallCaps w:val="false"/>
          <w:sz w:val="20"/>
        </w:rPr>
        <w:t>”) shall be in effect, having the effect of making the transactions contemplated hereby illegal or otherwise prohibiting the consummation of the transactions contemplated hereby;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Proceeding initiated by any Governmental Authority seeking an Injunction having the effect of making the transactions contemplated hereby illegal or otherwise prohibiting the consummation of the transactions contemplated hereby shall be pending.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caps w:val="false"/>
          <w:smallCaps w:val="false"/>
          <w:sz w:val="20"/>
        </w:rPr>
        <w:t>Other Conditions to the Obligation of the Sellers to Consummate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conditions specified in Section 5.1 above, the Sellers’ obligation to consummate the Closing is also subject to the fulfillment, on or prior to the Closing, of each of the following conditions (any or all of which may be waived by each Seller, in its sole discretion, in whole or in part to the extent permitted by Applicable Laws):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to the Transaction Documents, other than the Sellers, shall have executed and delivered such Transaction Documents to the Sellers;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set forth in Article 3 shall be true and correct in all material respects (other than the Fundamental Buyer Representations, which shall be true and correct in all respects) on and as of the date hereof and the Closing Date as if made on the Closing Date with reference to facts and circumstances then existing;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shall have performed and complied with, in all material respects, all agreements, obligations and conditions contained in this Agreement that are required to be performed or complied with by it on or before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 and its relevant Subsidiaries (if applicable) shall have obtained all relevant corporate and other Approvals and consents required to be obtained by them, including Approvals from any Governmental Authority, directors, creditors and third parties (if applicable) necessary for consummation of the transactions contemplated by this Agreement and any other Transaction Document, and the same shall not have been withdrawn or amended;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have been no Buyer Material Adverse Effect;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stop order suspending the qualification or exemption from qualification of Consideration Shares from trading on the NASDAQ shall have been issued and no Proceeding for that purpose shall have been commenced or shall be pending or threatened;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conditions to consummate the Closing shall have been satisfied or waived by the relevant parties;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Buyer shall have delivered to each Seller a compliance certificate, dated the Closing Date and signed by an authorized representative of the Buyer, certifying that the conditions specified in Section 5.2 have been fulfilled.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herein, the Buyer’s failure to issue the Consideration Shares shall not constitute a breach of this Agreement or trigger any indemnification obligation, if such failure is solely caused by:</w:t>
      </w:r>
    </w:p>
    <w:p>
      <w:pPr>
        <w:pStyle w:val="TextBody"/>
        <w:bidi w:val="0"/>
        <w:spacing w:before="0" w:after="0"/>
        <w:ind w:left="568"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final and non-appealable rejection of the listing application by NASDAQ;</w:t>
      </w:r>
    </w:p>
    <w:p>
      <w:pPr>
        <w:pStyle w:val="TextBody"/>
        <w:bidi w:val="0"/>
        <w:spacing w:before="0" w:after="0"/>
        <w:ind w:left="568"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suspension or termination of the Buyer’s SEC registration status by the SEC; or</w:t>
      </w:r>
    </w:p>
    <w:p>
      <w:pPr>
        <w:pStyle w:val="TextBody"/>
        <w:bidi w:val="0"/>
        <w:spacing w:before="0" w:after="0"/>
        <w:ind w:left="568"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other regulatory action by a Governmental Authority that materially prevents the issuance of the Consideration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caps w:val="false"/>
          <w:smallCaps w:val="false"/>
          <w:sz w:val="20"/>
        </w:rPr>
        <w:t>Other Conditions to the Obligation of the Buyer to Consummate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conditions specified in Section 5.1 above, the Buyer’s obligation to consummate the Closing is also subject to the fulfillment, on or prior to the Closing, of each of the following conditions (any or all of which may be waived by the Buyer, in its sole discretion, in whole or in part to the extent permitted by Applicable Laws):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to the Transaction Documents, other than the Buyer, shall have executed and delivered such Transaction Documents to the Buyer;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set forth in Article 4 shall be true and correct in all material respects (other than the Fundamental Seller Representations, which shall be true and correct in all respects) on and as of the date hereof and the Closing Date as if made on the Closing Date with reference to facts and circumstances then existing;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shall have performed and complied with, in all material respects, all agreements, obligations and conditions contained in this Agreement that are required to be performed or complied with by it on or before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Seller and Target Co. Group Companies shall have obtained all relevant corporate and other Approvals and consents required to be obtained by them, including Approvals from any Governmental Authority, directors, creditors and third parties (if applicable) necessary for consummation of the transactions contemplated by this Agreement and any other Transaction Document, and the same shall not have been withdrawn or amended;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have been no Target Co. Material Adverse Effect;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Buyer shall have received the financial statements of the Target Group described in Section 6.9, and such financial statements shall meet the requirements of Rule 3-05 of Regulation S-X for inclusion in the Buyer’s filings with the SEC;</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conditions to consummate the Share Issuance shall have been satisfied or waived by the relevant parties;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Seller shall have delivered to the Buyer a compliance certificate, dated the Closing Date and signed by an authorized representative of each Seller, certifying that the conditions specified in Section 5.3 have been fulfilled.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caps w:val="false"/>
          <w:smallCaps w:val="false"/>
          <w:sz w:val="20"/>
        </w:rPr>
        <w:t>Conduct of Business Pending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commencing from the date of this Agreement up to the earlier of (x) the Closing Date, and (y) the termination of this Agreement in accordance with Article 8 (the “</w:t>
      </w:r>
      <w:r>
        <w:rPr>
          <w:rFonts w:ascii="Times New Roman;Times;Serif" w:hAnsi="Times New Roman;Times;Serif"/>
          <w:b/>
          <w:i w:val="false"/>
          <w:caps w:val="false"/>
          <w:smallCaps w:val="false"/>
          <w:sz w:val="20"/>
        </w:rPr>
        <w:t>Relevant Period</w:t>
      </w:r>
      <w:r>
        <w:rPr>
          <w:rFonts w:ascii="Times New Roman;Times;Serif" w:hAnsi="Times New Roman;Times;Serif"/>
          <w:b w:val="false"/>
          <w:i w:val="false"/>
          <w:caps w:val="false"/>
          <w:smallCaps w:val="false"/>
          <w:sz w:val="20"/>
        </w:rPr>
        <w:t>”), Target Co. Group Companies shall use their commercially reasonable efforts to continue to engage in business in the ordinary and normal course, consistent with past practice. During the Relevant Period, except as consented to in writing by each Seller, the Buyer shall not (i) declare or make any dividend or distribution of cash or other property to its shareholders or purchased, redeemed or made any agreements to purchase or redeem any shares of its capital stock, or (ii) issue any equity securities to any officer, director, employee or Affiliate of the Buyer and its Subsidiaries, except pursuant to existing stock option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caps w:val="false"/>
          <w:smallCaps w:val="false"/>
          <w:sz w:val="20"/>
        </w:rPr>
        <w:t>Notification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and each Seller shall notify the Buyer, and the Buyer shall notify each of Target Co. and each Seller, promptly upon becoming aware of (A) any material adverse change in the business, operations, assets or financial condition of Target Co. Group Companies or the Buyer Group Companies, (B) any material breach of any major contract or material default under any material commitment or arrangement to which any Target Co. Group Company or any Buyer Group Company is a party, (C) any litigation, arbitration, administrative or other proceeding concerning or affecting any Target Co. Group Company or any Buyer Group Company which is current, threatened or pending and is or would reasonably be expected to be material to the Target Co. Group Companies taken as a whole or the Buyer Group Companies taken as a whole, (D) any event, circumstance or matter which has had or is reasonably likely to have a Target Co. Material Adverse Effect or Buyer Material Adverse Effect, as the case may be, and/or (E) any event, circumstance or matter which has caused or is reasonably likely to cause any breach of any representation, warranty, covenant or agreement in respect of Target Co. / each Seller or the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caps w:val="false"/>
          <w:smallCaps w:val="false"/>
          <w:sz w:val="20"/>
        </w:rPr>
        <w:t>Required Consents; Communications with Governmental Authorities.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each Party shall use its reasonable best efforts to take, or cause to be taken, all actions and to do, or cause to be done, all things necessary or desirable under Applicable Laws to consummate the transactions contemplated by this Agreement and any other Transaction Document, including (i) determining whether any approval, consent, registration, permit, authorization, other confirmation, waiver or other action from or by any Governmental Authority or counterparty to any contract of such Party is necessary or advisable in connection with the consummation of the transactions contemplated by this Agreement or any other Transaction Document (collectively, “</w:t>
      </w:r>
      <w:r>
        <w:rPr>
          <w:rFonts w:ascii="Times New Roman;Times;Serif" w:hAnsi="Times New Roman;Times;Serif"/>
          <w:b/>
          <w:i w:val="false"/>
          <w:caps w:val="false"/>
          <w:smallCaps w:val="false"/>
          <w:sz w:val="20"/>
        </w:rPr>
        <w:t>Required Consents</w:t>
      </w:r>
      <w:r>
        <w:rPr>
          <w:rFonts w:ascii="Times New Roman;Times;Serif" w:hAnsi="Times New Roman;Times;Serif"/>
          <w:b w:val="false"/>
          <w:i w:val="false"/>
          <w:caps w:val="false"/>
          <w:smallCaps w:val="false"/>
          <w:sz w:val="20"/>
        </w:rPr>
        <w:t>”); (ii) taking any actions in respect of, giving any notice to and preparing and making any filings with, any Governmental Authority or other third party in respect of any Required Consent as promptly as practicable following the date hereof and furnishing all information or other documentation required in connection with such action, notice or filing; and (iii) taking such further steps as may be required to timely obtain and maintain each Required Consent, including by using reasonable best efforts to obtain the early termination of any applicable waiting period.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Applicable Laws or any relevant Governmental Authority, and subject to all applicable privileges, including the attorney-client privilege, each Party shall (i) give to the other Parties prompt notice upon obtaining knowledge of the making or commencement of any request, inquiry or Proceeding by or before any Governmental Authority with respect to the transactions contemplated hereby or by any other Transaction Document; (ii) keep the other Parties informed as to the status of any such request, inquiry or Proceeding; and (iii) promptly inform the other Parties of any communication to or from any Governmental Authority regarding the transactions contemplated hereby or by any other Transaction Document. Each Party shall consult and cooperate with, and consider in good faith the views of, the other Parties (to the extent practicable) throughout any defense of the transactions contemplated by this Agreement and any other Transaction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(the “</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shall keep confidential, shall cause its Affiliates, and its and their respective counsels, financial advisors, auditors and other authorized representatives, including, without limitation, their agents, employees, officers, and directors (collectively,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to keep confidential, the existence of the Transaction Documents and the transactions contemplated under the Transaction Documents, the negotiations relating to any Transaction Document, and the terms and conditions hereof and of any other Transaction Document, and any non-public information relating to any other Party and its Representatives (collectively, the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except as such other Parties agree in writing otherwise; provided that the Recipient may disclose any Confidential Information (i) to the extent that such disclosure is required by Applicable Laws and/or the rules of any stock exchange, and so long as, where such disclosure is to a Governmental Authority or stock exchange, such Party shall use all reasonable efforts to obtain confidential treatment of the Confidential Information so disclosed, to the extent permissible under the Applicable Laws and/or the rules of any stock exchange, or (ii) to its professional advisors participating in the negotiation and implementation of the Transaction Documents so long as each such professional advisor to whom the Confidential Information is so disclosed agree to keep such Confidential Information confidential, or (iii) to its Representatives as necessary to the performance of its obligations in connection with any Transaction Document, in each case so long as each such Person to whom the Confidential Information is so disclosed agrees to keep such Confidential Information confidential.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take all reasonable actions and provide all such reasonable assurances as may be required to consummate the transactions contemplated by this Agreement and any other Transaction Document, and each Party shall provide such further documents or instruments reasonably required by any other Party or desirable to effect the purposes of this Agreement and any other Transaction Document and to carry out their respective provisions. For the avoidance of doubt, nothing in this Section 6.5 shall be construed to be obligated to waive the relevant conditions precedent to its obligations to consummate the Closing, which shall be determined by each of the relevant Parties at its sole discretion and not be subject to this Section 6.5.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caps w:val="false"/>
          <w:smallCaps w:val="false"/>
          <w:sz w:val="20"/>
        </w:rPr>
        <w:t>Public Announcements.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will, to the extent permitted by Applicable Laws, consult with each other before issuance, and provide each other with the opportunity to review, comment on, and use all reasonable efforts to agree on, any press release or other public disclosure with respect to this Agreement and the other Transaction Documents and the transactions contemplated hereby and thereby, and will not (to the extent practicable) issue any such press release or make any such public disclosure prior to such consultation and agreement, except that disclosure made by a Party without having reached such agreement despite consultation shall be permissible if the substance and timing of the disclosure are necessary to comply with the Applicable Laws or an applicable securities exchange rules and regulations, provided that the disclosing Party shall, to the extent permitted by Applicable Laws or the applicable securities exchange rules and regulations and if reasonably practicable, inform the other Parties of the disclosure to be made pursuant to such requirements prior to the disclosure. Subject to Applicable Laws, the Parties shall use all reasonable efforts to promptly provide or cause to be promptly provided information and documents as requested by the NASDAQ, the SEC or any other competent Governmental Authority or that are necessary or advisable to comply with the Applicable Laws and the rules and regulations of any applicable securities exchange and permit consummation of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transfer, documentary, sales, use, stamp, registration, value added, and other such tax and fees (including any penalties and interest) incurred by and imposed on a Party in connection with this Agreement shall be borne and paid by such Party when due. Each Party shall, if applicable, at its own expense, timely file any Tax Return or other document with respect to such tax or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caps w:val="false"/>
          <w:smallCaps w:val="false"/>
          <w:sz w:val="20"/>
        </w:rPr>
        <w:t>Lock-Up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 with the prior written consent of the board of the Buyer; or (ii) transferring to the respective wholly-owned Subsidiary (in which case such transferee shall be bound by the similar lock-up provisions as hereof), Better Way shall not, directly or indirectly, transfer, sell, assign, pledge, or other disposal of any Consideration Share at any time on or before the expiry of a 60-month period after the Closing Date.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caps w:val="false"/>
          <w:smallCaps w:val="false"/>
          <w:sz w:val="20"/>
        </w:rPr>
        <w:t>Survival.</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Fundamental Seller Representations and the Fundamental Buyer Representations shall survive indefinitely or until the latest date permitted by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representations and warranties contained in this Agreement other than the Fundamental Seller Representations and the Fundamental Buyer Representations, shall survive the Closing until eighteen (18) months following the Closing Date.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clauses ‎(a) and ‎(b), any breach of any representation, warranty, covenant or agreement in respect of which indemnity may be sought under this Agreement shall survive the time at which it would otherwise terminate pursuant to the clauses ‎(a) and ‎(b) above, if notice of the inaccuracy or breach thereof giving rise to such right of indemnity shall have been given to the party against whom such indemnity may be sought prior to such time.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in this Agreement shall limit or exclude any liability for fraud or willful misrepresentation.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caps w:val="false"/>
          <w:smallCaps w:val="false"/>
          <w:sz w:val="20"/>
        </w:rPr>
        <w:t>Indemnification by the 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Buyer shall indemnify and hold harmless each Seller and its Affiliates and their respective officers, directors, employees, agents, successors and assigns (each, a “</w:t>
      </w:r>
      <w:r>
        <w:rPr>
          <w:rFonts w:ascii="Times New Roman;Times;Serif" w:hAnsi="Times New Roman;Times;Serif"/>
          <w:b/>
          <w:i w:val="false"/>
          <w:caps w:val="false"/>
          <w:smallCaps w:val="false"/>
          <w:sz w:val="20"/>
        </w:rPr>
        <w:t>Seller Indemnified Party</w:t>
      </w:r>
      <w:r>
        <w:rPr>
          <w:rFonts w:ascii="Times New Roman;Times;Serif" w:hAnsi="Times New Roman;Times;Serif"/>
          <w:b w:val="false"/>
          <w:i w:val="false"/>
          <w:caps w:val="false"/>
          <w:smallCaps w:val="false"/>
          <w:sz w:val="20"/>
        </w:rPr>
        <w:t>”) for and against any and all Liabilities, losses, damages, claims, costs and expenses, interest, awards, judgments and penalties (including reasonable and documented attorneys’ and consultants’ fees and expenses)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suffered or incurred by them (including any action brought or otherwise initiated by any of them), arising out of or resulting from: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or violation of, or inaccuracy in, any representation or warranty made by the Buyer under this Agreement or any claim by any third party alleging, constituting or involving such a breach, violation or inaccuracy;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violation of, or failure to perform, any covenants or agreements made by or on behalf of, or to be performed by, the Buyer under this Agreement or any claim by any third party alleging, constituting or involving such a breach, violation or failure to perform.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caps w:val="false"/>
          <w:smallCaps w:val="false"/>
          <w:sz w:val="20"/>
        </w:rPr>
        <w:t>Limits on Indemnification by the Buyer</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not be liable to the Seller Indemnified Parties for indemnification under ‎Section 7.2 until the aggregate amount of all Losses in respect of indemnification under Section 7.2 exceeds $3.0 million (the “</w:t>
      </w:r>
      <w:r>
        <w:rPr>
          <w:rFonts w:ascii="Times New Roman;Times;Serif" w:hAnsi="Times New Roman;Times;Serif"/>
          <w:b/>
          <w:i w:val="false"/>
          <w:caps w:val="false"/>
          <w:smallCaps w:val="false"/>
          <w:sz w:val="20"/>
        </w:rPr>
        <w:t>Buyer Deductible</w:t>
      </w:r>
      <w:r>
        <w:rPr>
          <w:rFonts w:ascii="Times New Roman;Times;Serif" w:hAnsi="Times New Roman;Times;Serif"/>
          <w:b w:val="false"/>
          <w:i w:val="false"/>
          <w:caps w:val="false"/>
          <w:smallCaps w:val="false"/>
          <w:sz w:val="20"/>
        </w:rPr>
        <w:t>”), in which event the Buyer shall only be required to pay or be liable for Losses in excess of the Buyer Deductible. With respect to any claim as to which a Seller Indemnified Party may be entitled to indemnification under Section 7.2, the Buyer shall not be liable for any individual or series of related Losses which do not exceed US$100,000 (which Losses shall not be counted toward the Buyer Deductible).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shall the Buyer be liable to any Seller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aggregate liability of the Buyer to the Seller Indemnified Parties with respect to all indemnification claims pursuant to this Section 7.2 shall not exceed $30.0 million.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by the Buyer pursuant to Section 7.2 in respect of any Loss shall be limited to the amount of any liability or damage that remains after deducting therefrom any insurance proceeds and any indemnity, contribution or other similar payment received or reasonably expected to be received by the Seller Indemnified Parties in respect of any such claim.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Payments by the Buyer pursuant to Section 7.2 in respect of any Loss shall be reduced by an amount equal to any tax benefit realized or reasonably expected to be realized as a result of such Loss by the relevant Seller Indemnified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caps w:val="false"/>
          <w:smallCaps w:val="false"/>
          <w:sz w:val="20"/>
        </w:rPr>
        <w:t>Indemnification by the Sellers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Sellers shall indemnify and hold harmless the Buyer and its Affiliates and their respective officers, directors, employees, agents, successors and assigns (each, a “</w:t>
      </w:r>
      <w:r>
        <w:rPr>
          <w:rFonts w:ascii="Times New Roman;Times;Serif" w:hAnsi="Times New Roman;Times;Serif"/>
          <w:b/>
          <w:i w:val="false"/>
          <w:caps w:val="false"/>
          <w:smallCaps w:val="false"/>
          <w:sz w:val="20"/>
        </w:rPr>
        <w:t>Buyer Indemnified Party</w:t>
      </w:r>
      <w:r>
        <w:rPr>
          <w:rFonts w:ascii="Times New Roman;Times;Serif" w:hAnsi="Times New Roman;Times;Serif"/>
          <w:b w:val="false"/>
          <w:i w:val="false"/>
          <w:caps w:val="false"/>
          <w:smallCaps w:val="false"/>
          <w:sz w:val="20"/>
        </w:rPr>
        <w:t>”; the Buyer Indemnified Parties together with the Seller Indemnified Parties, collectively,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for and against any and all Losses actually suffered or incurred by them (including any action brought or otherwise initiated by any of them), arising out of or resulting from: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or violation of, or inaccuracy in, any representation or warranty made by the Sellers under this Agreement or any claim by any third party alleging, constituting or involving such a breach, violation or inaccuracy;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violation of, or failure to perform, any covenants or agreements made by or on behalf of, or to be performed by, the Sellers under this Agreement or any claim by any third party alleging, constituting or involving such a breach, violation or failure to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caps w:val="false"/>
          <w:smallCaps w:val="false"/>
          <w:sz w:val="20"/>
        </w:rPr>
        <w:t>Limits on Indemnification by the Sellers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Sellers shall not be liable to the Buyer Indemnified Parties for indemnification under ‎Section 7.4 until the aggregate amount of all Losses in respect of indemnification under ‎Section 7.4 exceeds $3.0 million (the “</w:t>
      </w:r>
      <w:r>
        <w:rPr>
          <w:rFonts w:ascii="Times New Roman;Times;Serif" w:hAnsi="Times New Roman;Times;Serif"/>
          <w:b/>
          <w:i w:val="false"/>
          <w:caps w:val="false"/>
          <w:smallCaps w:val="false"/>
          <w:sz w:val="20"/>
        </w:rPr>
        <w:t>Seller Deductible</w:t>
      </w:r>
      <w:r>
        <w:rPr>
          <w:rFonts w:ascii="Times New Roman;Times;Serif" w:hAnsi="Times New Roman;Times;Serif"/>
          <w:b w:val="false"/>
          <w:i w:val="false"/>
          <w:caps w:val="false"/>
          <w:smallCaps w:val="false"/>
          <w:sz w:val="20"/>
        </w:rPr>
        <w:t>”), in which event the Sellers shall only be required to pay or be liable for Losses in excess of the Sellers Deductible. With respect to any claim as to which a Buyer Indemnified Party may be entitled to indemnification under Section 7.4, the Sellers shall not be liable for any individual or series of related Losses which do not exceed US$100,000 (which Losses shall not be counted toward the Seller Deductible).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shall the Sellers be liable to any Buyer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aggregate liability of the Sellers to the Buyer Indemnified Parties with respect to all indemnification claims pursuant to this Section 7.4 shall not exceed US$30.0 million.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by the Sellers pursuant to Section 7.4 in respect of any Loss shall be limited to the amount of any liability or damage that remains after deducting therefrom any insurance proceeds and any indemnity, contribution or other similar payment received or reasonably expected to be received by the Buyer Indemnified Parties in respect of any such claim.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Payments by the Sellers pursuant to Section 7.4 in respect of any Loss shall be reduced by an amount equal to any tax benefit realized or reasonably expected to be realized as a result of such Loss by the relevant Buyer Indemnified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caps w:val="false"/>
          <w:smallCaps w:val="false"/>
          <w:sz w:val="20"/>
        </w:rPr>
        <w:t>Mitigation.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and each Seller shall take, and cause each applicable Indemnified Party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caps w:val="false"/>
          <w:smallCaps w:val="false"/>
          <w:sz w:val="20"/>
        </w:rPr>
        <w:t>Sole Remedy; 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contained herein, the remedies contained in this Article 7 shall be the sole and exclusive monetary remedy of the Indemnified Parties for any claim arising out of or resulting from this Agreement, except that no limitation or exceptions with respect to the obligations or liabilities on any Party provided hereunder (including, without limitation, the limitations set forth in Section 7.3 and Section 7.5) shall apply to the extent that such Losses arise or are increased as the consequence of any fraud or willful misrepresentation by the Buyer or each Seller. Nothing in this Article 7 or elsewhere in this Agreement shall affect any Party’s rights to specific performance or other equitable or non-monetary remedies with respect to the covenants and agreements in this Agreement or that are to be performed at or after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except in the case of fraud, nothing contained herein shall permit any party to rescind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caps w:val="false"/>
          <w:smallCaps w:val="false"/>
          <w:sz w:val="20"/>
        </w:rPr>
        <w:t>Third Party Claims.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third party shall notify an Indemnified Party in writing with respect to any matter involving a claim by such third party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and such Indemnified Party believes such claim would give rise to a claim for indemnification against the Indemnifying Party under this Article 7, then the Indemnified Party shall promptly (i) notify the Indemnifying Party thereof in writing and (ii) transmit to the Indemnifying Party a written notice (“</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describing in reasonable detail, to the extent reasonably practicable, the nature of the Third Party Claim, a copy of all papers served with respect to such claim (if any), and the basis of the Indemnified Party’s request for indemnification under this Agreement. The failure to so notify the Indemnifying Party shall not relieve the Indemnifying Party of its obligations 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receipt of a Claim Notice with respect to a Third Party Claim, the Indemnifying Party shall have the right to assume the defense of any Third Party Claim by, within thirty (30) days of receipt of the Claim Notice, notifying the Indemnified Party in writing that the Indemnifying Party elects to assume the defense of such Third Party Claim, and upon delivery of such notice by the Indemnifying Party, the Indemnifying Party shall have the right to control and settle the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such settlement or compromise shall be permitted hereunder only with the written consent of the Indemnified Party which consent shall not be unreasonably withheld or delayed, and (ii) and the Indemnifying Party shall keep the Indemnified Party reasonably informed of the progress of such defense on a regular basis.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requested by the Indemnifying Party, the Indemnified Party shall, at the sole cost and expense of the Indemnifying Party,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for which indemnity is sought under this Agreement, other than any privileged communications between the Indemnifying Party and its counsel, and shall be entitled, at its sole cost and expense, to retain separate co-counsel and participate in, but not control, any defense or settlement (except for its consent required under Section 7.8(b) above) of any Third Party Claim assumed by the Indemnifying Party pursuant to Section 7.8(b).</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of a Third Party Claim for which the Indemnifying Party elects not to assume the defense or fails to make such an election within thirty (30) days of the Claim Notice, the Indemnified Party may, at its option, defend, settle, compromise or pay such action or claim at the expense of the Indemnifying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settlement or compromise shall be permitted hereunder only with the written consent of the Indemnifying Party, which consent shall not be unreasonably withheld or delayed.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caps w:val="false"/>
          <w:smallCaps w:val="false"/>
          <w:sz w:val="20"/>
        </w:rPr>
        <w:t>Termination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Buyer or each Seller;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the Buyer or each Seller, if the Closing has not occurred by the Long Stop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Party whose breach of any provision of this Agreement would give rise to the failure of the Closing to have been occurred by the Long Stop Date shall not have the right to terminate this Agreement;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Buyer or each Seller in the event that: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be any Applicable Law that makes consummation of the transactions contemplated by this Agreement illegal or otherwise prohibited;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Governmental Authority shall have issued an Order restraining or enjoining the transactions contemplated by this Agreement, and such Order shall have become final and non-appealable.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caps w:val="false"/>
          <w:smallCaps w:val="false"/>
          <w:sz w:val="20"/>
        </w:rPr>
        <w:t>Effects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as provided under this Section 8.1, this Agreement will be of no further force or effect upon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termination will not relieve any Party from any liability for any antecedent breach of this Agreement, and (ii) Section 6.4, Section 6.6, Section 6.7, Article 7, Section 8.2, Section 9.2, Section 9.6, ‎Section 9.7, Section 9.8, ‎Section 9.9 and Section 9.12 shall survive the termination of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other Transaction Documents constitute the entire agreement between the Parties with respect to the subject matter hereof and thereof and supersede and cancel all prior agreements, understandings, representations and warranties, both oral and written, between the Parties with respect thereto, and there are no agreements, undertakings, representations or warranties of any of the Parties with respect to the transactions contemplated hereby and thereby other than those set forth herein or therein or made hereunder or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requests, claims, demands and other communications under this Agreement shall be in writing and shall be given or made (and shall be deemed to have been duly given or made upon receipt) by delivery in person, by next-day or second-day courier service, or by electronic mail to the respective Parties at the following addresses: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Room 407, Tower 2, Harbour Centre, 8 Hok Cheung Street, </w:t>
        <w:br/>
        <w:t>Hunghom, Kowloon, Hong Kong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li.guo@aiosinc.com</w:t>
        <w:br/>
        <w:t>Attention:    Guo Li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notice is sent by delivery in person, such notice shall be deemed received upon the delivery. Where a notice is sent by next-day or second-day courier service, such notice shall be deemed received by properly addressing, pre-paying and sending by next-day or second-day service through an internationally-recognized courier a letter containing the notice, with a written confirmation of delivery, at the earlier of (i) delivery (or when delivery is refused) and (ii) expiration of three (3) Business Days after the letter containing the same is sent as aforesaid. Where a notice is sent by electronic mail, such notice shall be deemed received by properly addressing, with a written confirmation of delivery, and on the day the same is sent as aforesaid, if such day is a Business Day and if sent during normal business hours of the recipient, otherwise the next Business Day. Notwithstanding the foregoing, to the extent a “with a copy to” address is designated, notice must also be given to such address in the manner above for such notice, request, consent or other communication hereunder to be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notify each other Party of any change to its name, appropriate addressee, address or e-mail address for the purposes of this ‎Section 9.2 by delivering a notice in accordance with the terms of this ‎Section 9.2.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caps w:val="false"/>
          <w:smallCaps w:val="false"/>
          <w:sz w:val="20"/>
        </w:rPr>
        <w:t>Amendment;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only by a written instrument executed by each of the Parties. References herein to this Agreement shall include any amendment or renewal hereof. Any Party may waive any right of such Party under this Agreement by an instrument signed in writing by such Party. Except as specifically provided herein, the failure or delay of any Party to enforce at any time any of the provisions of this Agreement shall in no way be construed to be a waiver of any such provision or to affect the validity of this Agreement or any part hereof or the right of any Party thereafter to enforce each such provision. No waiver of any breach of, or non-compliance with, this Agreement shall be deemed a waiver of any other or subsequent breach or non-compliance. Except as specifically provided herein, all remedies, either under this Agreement or under Applicable Laws or otherwise afforded, shall be cumulative and not alternative.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provision of this Agreement is intended to be severable. If any term or provision hereof is declared or held illegal or invalid, in whole or in part, for any reason whatsoever, such illegality or invalidity shall not affect the validity or enforceability of the remainder of the Agreement, and such provision shall be deemed amended or modified only to the extent necessary to cure such illegality or invalidity. Upon such determination of illegality or invalidity, the Parties shall negotiate in good faith to amend this Agreement to effect the original intent of the Parties.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competent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caps w:val="false"/>
          <w:smallCaps w:val="false"/>
          <w:sz w:val="20"/>
        </w:rPr>
        <w:t>Non-assignment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Agreement shall be binding upon and inure to the benefit of the Parties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this Agreement nor any right, remedy or Liability arising hereunder or by reason hereof may be assigned, delegated or otherwise transferred by any Party to any Person without the prior written consent of each other Party, except to any Affiliate (in which case such Party and its applicable Affiliate shall each be jointly and severally liable for their respective obligations) of such Party. Any assignment in violation of this Section 9.5 shall be null and void and of no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Hong Kong, without regard to its principles of conflicts of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caps w:val="false"/>
          <w:smallCaps w:val="false"/>
          <w:sz w:val="20"/>
        </w:rPr>
        <w:t>Dispute Resolution.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dispute arising out of or in connection with this Agreement, including any question regarding its existence, validity or termination, shall be referred to and finally resolved by arbitration administered by the Hong Kong International Arbitration Centre (HKIAC) under the HKIAC Administered Arbitration Rules (the “</w:t>
      </w:r>
      <w:r>
        <w:rPr>
          <w:rFonts w:ascii="Times New Roman;Times;Serif" w:hAnsi="Times New Roman;Times;Serif"/>
          <w:b/>
          <w:i w:val="false"/>
          <w:caps w:val="false"/>
          <w:smallCaps w:val="false"/>
          <w:sz w:val="20"/>
        </w:rPr>
        <w:t>HKIAC Rules</w:t>
      </w:r>
      <w:r>
        <w:rPr>
          <w:rFonts w:ascii="Times New Roman;Times;Serif" w:hAnsi="Times New Roman;Times;Serif"/>
          <w:b w:val="false"/>
          <w:i w:val="false"/>
          <w:caps w:val="false"/>
          <w:smallCaps w:val="false"/>
          <w:sz w:val="20"/>
        </w:rPr>
        <w:t>”) in force when the notice of arbitration is submitted in accordance with the HKIAC Rules. The HKIAC Rules are deemed to be incorporated by reference to this clause. The tribunal shall be comprised of three (3) arbitrators. The claimant and respondent shall each nominate one (1) arbitrator and the third, who shall serve as president of the tribunal, shall be nominated by the Party-nominated arbitrators. The arbitration shall be conducted in English. Each Party irrevocably and unconditionally consents to such arbitration as the sole and exclusive method of resolving any dispute arising out of or in connection with this Agreement, including any question regarding its existence, validity or termination, other than any proceedings to seek the remedies of specific performance as contemplated by ‎‎Section 9.9.</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award of the arbitral tribunal shall be final and binding on the Parties. The Parties agree that they will not have recourse to any judicial proceedings, in any jurisdiction whatsoever, for the purpose of seeking appeal, annulment, setting aside, modification or any diminution or impairment of its terms or effect insofar as such exclusion can validly be made. Judgment upon any award rendered may be entered in any court having jurisdiction thereof, or application may be made to such court for a judicial acceptance of the award, injunction and an Order of enforcement,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caps w:val="false"/>
          <w:smallCaps w:val="false"/>
          <w:sz w:val="20"/>
        </w:rPr>
        <w:t>Performance Pending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terminated in accordance with the terms hereof, this Agreement and the rights and obligations of the Parties hereunder shall remain in full force and effect during the pendency of any proceeding under ‎‎Section 9.7.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irreparable damage would occur if any provision of this Agreement were not performed in accordance with the terms hereof and that, prior to the termination of this Agreement in accordance with ‎‎‎‎Section 9.7, each Party shall be entitled to specific performance of the terms hereof. It is accordingly agreed that prior to such termination, each Party shall be entitled to an injunction or injunctions to prevent such breaches of this Agreement and to enforce specifically (without proof of actual damages or harm, and not subject to any requirement for the securing or posting of any bond in connection therewith) such terms and provisions of this Agreement, this being in addition to any other remedy to which each Party is entitled at law or in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by the Parties on separate counterparts, each of which shall be an original but all of which together shall constitute one and the same instrument. A “PDF” signature shall be considered due execution and shall be binding upon the signatory thereto with the same force and effect as if the signature were an original.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caps w:val="false"/>
          <w:smallCaps w:val="false"/>
          <w:sz w:val="20"/>
        </w:rPr>
        <w:t>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Agreement, there are no third-party beneficiaries of this Agreement and nothing in this Agreement, express or implied, is intended to confer on any third party any rights, remedies or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Agreement, each Party shall bear the taxes, costs and expenses incurred by it in connection with negotiating this Agreement and any other Transaction Document and in preparing and implementing this Agreement, any other Transaction Document and the transactions contemplated hereby and thereby.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1965" w:type="dxa"/>
        <w:jc w:val="left"/>
        <w:tblInd w:w="0" w:type="dxa"/>
        <w:tblLayout w:type="fixed"/>
        <w:tblCellMar>
          <w:top w:w="0" w:type="dxa"/>
          <w:left w:w="0" w:type="dxa"/>
          <w:bottom w:w="0" w:type="dxa"/>
          <w:right w:w="0" w:type="dxa"/>
        </w:tblCellMar>
      </w:tblPr>
      <w:tblGrid>
        <w:gridCol w:w="75"/>
        <w:gridCol w:w="365"/>
        <w:gridCol w:w="710"/>
        <w:gridCol w:w="815"/>
      </w:tblGrid>
      <w:tr>
        <w:trPr/>
        <w:tc>
          <w:tcPr>
            <w:tcW w:w="75" w:type="dxa"/>
            <w:tcBorders/>
            <w:vAlign w:val="center"/>
          </w:tcPr>
          <w:p>
            <w:pPr>
              <w:pStyle w:val="TableContents"/>
              <w:bidi w:val="0"/>
              <w:spacing w:before="0" w:after="283"/>
              <w:jc w:val="left"/>
              <w:rPr/>
            </w:pPr>
            <w:r>
              <w:rPr/>
              <w:t> </w:t>
            </w:r>
          </w:p>
        </w:tc>
        <w:tc>
          <w:tcPr>
            <w:tcW w:w="1890" w:type="dxa"/>
            <w:gridSpan w:val="3"/>
            <w:tcBorders/>
            <w:vAlign w:val="center"/>
          </w:tcPr>
          <w:p>
            <w:pPr>
              <w:pStyle w:val="TableContents"/>
              <w:bidi w:val="0"/>
              <w:spacing w:before="0" w:after="283"/>
              <w:jc w:val="left"/>
              <w:rPr>
                <w:b/>
              </w:rPr>
            </w:pPr>
            <w:r>
              <w:rPr>
                <w:b/>
              </w:rPr>
              <w:t>AIOS Tech Inc.</w:t>
            </w:r>
          </w:p>
        </w:tc>
      </w:tr>
      <w:tr>
        <w:trPr/>
        <w:tc>
          <w:tcPr>
            <w:tcW w:w="75" w:type="dxa"/>
            <w:tcBorders/>
            <w:vAlign w:val="center"/>
          </w:tcPr>
          <w:p>
            <w:pPr>
              <w:pStyle w:val="TableContents"/>
              <w:bidi w:val="0"/>
              <w:spacing w:before="0" w:after="283"/>
              <w:jc w:val="left"/>
              <w:rPr/>
            </w:pPr>
            <w:r>
              <w:rPr/>
              <w:t> </w:t>
            </w:r>
          </w:p>
        </w:tc>
        <w:tc>
          <w:tcPr>
            <w:tcW w:w="18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52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Guo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Guo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b/>
              </w:rPr>
            </w:pPr>
            <w:r>
              <w:rPr>
                <w:b/>
              </w:rPr>
              <w:t>Better Way Holdings Limited</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Better Way Holdings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75"/>
        <w:gridCol w:w="3620"/>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b/>
              </w:rPr>
            </w:pPr>
            <w:r>
              <w:rPr>
                <w:b/>
              </w:rPr>
              <w:t>Novo Spring Management Limited</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Novo Spring Management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2375"/>
      </w:tblGrid>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b/>
              </w:rPr>
            </w:pPr>
            <w:r>
              <w:rPr>
                <w:b/>
              </w:rPr>
              <w:t>Cloud Spring Limited</w:t>
            </w:r>
          </w:p>
        </w:tc>
      </w:tr>
      <w:tr>
        <w:trPr/>
        <w:tc>
          <w:tcPr>
            <w:tcW w:w="7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Cloud Spring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br/>
        <w:t>INSTRUMENT OF TRANSFER</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smallCaps/>
        </w:rPr>
      </w:pPr>
      <w:r>
        <w:rPr>
          <w:smallCaps/>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br/>
        <w:t>Group chart of target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34 </w:t>
      </w:r>
    </w:p>
    <w:p>
      <w:pPr>
        <w:pStyle w:val="TextBody"/>
        <w:bidi w:val="0"/>
        <w:spacing w:before="0" w:after="283"/>
        <w:jc w:val="left"/>
        <w:rPr/>
      </w:pPr>
      <w:r>
        <w:rPr/>
        <w:t> </w:t>
      </w:r>
    </w:p>
    <w:p>
      <w:pPr>
        <w:pStyle w:val="TextBody"/>
        <w:bidi w:val="0"/>
        <w:jc w:val="right"/>
        <w:rPr>
          <w:b/>
        </w:rPr>
      </w:pPr>
      <w:bookmarkStart w:id="4" w:name="ea030899701ex99-1.htm"/>
      <w:bookmarkStart w:id="5" w:name="ksea030899701ex991"/>
      <w:bookmarkEnd w:id="4"/>
      <w:bookmarkEnd w:id="5"/>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 Announces Agreement to Acquire SmartCore Holdings in All-Stock Transaction Valued at Approximately US$100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would add cross-border network connectivity, data center capabilities to AIOS’s AI-driven digital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 KONG, October 19, 2026 (GLOBE NEWSWIRE) -- AIOS Tech Inc. (Nasdaq: AIOS) (“AIOS” or the “Company”), a Hong Kong-based AI and technology-driven professional service provider, today announced that it has entered into a transaction agreement (the “Transaction Agreement”) with Better Way Holdings Limited, Novo Spring Management Limited and Cloud Spring Limited (collectively, the “Sellers”), which collectively hold all of the issued and outstanding shares of SmartCore Holdings Limited (“SmartCore”). Pursuant to the Transaction Agreement, AIOS agreed to acquire all of the issued and outstanding shares of SmartCore in an all-stock transaction valued at approximately US$100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the Company will issue to the Sellers an aggregate of 33,333,334 Class A common shares, par value US$0.0001 per share of AIOS (the “Consideration Shares”). The parties valued the Consideration Shares at US$3.00 per share for purposes of the transaction, resulting in aggregate purchase consideration of approximately US$100 million. No cash consideration is payable by the Company. Based on 3,249,337 Class A common shares and 5,000,000 Class B common shares outstanding immediately before the closing, and assuming no other share issuances before the closing, the Sellers are expected to hold approximately 80.16% of the Company’s total issued and outstanding shares and approximately 6.21% of its total voting power immediately after the issuance of the Consideration Shares. Each Class A common share carries one vote, and each Class B common share carries 100 votes. Subject to the exceptions specified in the Transaction Agreement, the Consideration Shares issued to Better Way Holdings Limited may not be transferred or otherwise disposed of for 60 months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closing, the Sellers will complete a series of restructuring and reorganization arrangements (the “Reorganization”) in accordance with the Transaction Agreement. Following completion of the Reorganization and immediately before the closing, AIMatrix Limited, a company incorporated in Hong Kong, Happy Fortune Data Limited, a company incorporated in Macao, and Coco Cloud Technology Pte. Ltd., a company incorporated in Singapore, will be wholly owned subsidiaries of SmartCore, and SmartCore will indirectly own 80% of EasyPay (Thailand) Co., Ltd., a company incorporated in Thailand. These entities are referred to collectively as the “Target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Reorganization, the Target Group is expected to operate primarily in two service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IDC Interconnection Services — </w:t>
      </w:r>
      <w:r>
        <w:rPr>
          <w:rFonts w:ascii="Times New Roman;Times;Serif" w:hAnsi="Times New Roman;Times;Serif"/>
          <w:b w:val="false"/>
          <w:i w:val="false"/>
          <w:caps w:val="false"/>
          <w:smallCaps w:val="false"/>
          <w:sz w:val="20"/>
        </w:rPr>
        <w:t>Providing cross-border network connectivity, bandwidth optimization and global data traffic management services to downstream customers through overseas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IDC Services — </w:t>
      </w:r>
      <w:r>
        <w:rPr>
          <w:rFonts w:ascii="Times New Roman;Times;Serif" w:hAnsi="Times New Roman;Times;Serif"/>
          <w:b w:val="false"/>
          <w:i w:val="false"/>
          <w:caps w:val="false"/>
          <w:smallCaps w:val="false"/>
          <w:sz w:val="20"/>
        </w:rPr>
        <w:t>Including customized server hosting, IP address allocation and bandwidth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on or before November 30, 2026, subject to completion of the Reorganization and the satisfaction or waiver of the other closing conditions set forth in the Transaction Agreement. There can be no assurance that the closing conditions will be satisfied or waived or that the transaction will be completed by that date or at all. AIOS believes that the Target Group’s cross-border IDC connectivity and data center service capabilities may complement the Company’s existing portfolio of IT infrastructure, financial industry IT services and AI solutions. Following the Reorganization, the Target Group is expected to operate in Hong Kong, Macao, Singapore and Thailand. If completed, the transaction is expected to expand AIOS’s geographic coverage in the Greater Bay Area and Southeast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Target Group’s cross-border connectivity and data center capabilities are expected to complement our existing IT infrastructure and AI service offerings,” said Guo Li, Co-Chief Executive Officer of AIOS Tech Inc. “If completed, this transaction would expand our regional reach and strengthen our ability to serve customers in the Greater Bay Area and Southeast Asia. We look forward to working with the SmartCore team to pursue these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AIOS Tech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 provides technology-driven professional services, including information technology solutions, data services and AI-enabled offerings. The Company’s activities include digital transformation services, IT solutions for the financial sector, enterprise data solutions, and the development of AI platforms and infrastructure. For more information, visit https://ir.aiosinc.com/.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SmartCore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Reorganization, SmartCore Holdings Limited is expected, through the Target Group companies in Hong Kong, Macao, Singapore and Thailand, to provide IDC connectivity and IDC services, including cross-border network interconnection, bandwidth optimization, management of global data traffic, customized server hosting, IP address allocation and bandwidth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expected timing and completion of the transaction and the Reorganization; the issuance and value of the Consideration Shares; the Sellers’ expected post-closing ownership and voting power; the anticipated benefits of the transaction; and the Company’s plans for integration, service offerings and geographic expansion. Forward-looking statements are based on current expectations and assumptions and involve risks and uncertainties that could cause actual results to differ materially, including the risks that the Reorganization or other closing conditions may not be completed, satisfied or waived; required approvals or consents may not be obtained; the transaction may be delayed or may not be completed; the Company’s capitalization may change before closing; the anticipated benefits of the transaction may not be realized; the Target Group may not be integrated successfully; the transaction may disrupt the businesses of the Company or the Target Group; and the Company may experience changes in market conditions, customer demand, competition, regulation, or the trading price of its securities. Additional risks and uncertainties are described in the Company’s filings with the U.S. Securities and Exchange Commission, available at www.sec.gov. Readers should not place undue reliance on these forward-looking statements, which speak only as of the date of this press release.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and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ir@aiosinc.com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https://ir.aiosinc.com/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3993/000121390026079154/ea0291263-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15967</Words>
  <Characters>86353</Characters>
  <CharactersWithSpaces>102413</CharactersWithSpaces>
  <Paragraphs>1247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