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831-6k_aiostech.htm"/>
      <w:bookmarkStart w:id="1" w:name="ksea03058316k_aiostech"/>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September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001-37829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AIOS Tech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407, Tower 2, Harbour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Hok Cheung Street, Hunghom,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Explanatory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furnishing this Report on Form 6-K to provide its Operating and Financial Review and unaudited interim financial statements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Current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333-297531) that was initially filed with the SEC on July 17, 2026 and declared effective by the SEC on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46"/>
        <w:gridCol w:w="60"/>
        <w:gridCol w:w="9099"/>
      </w:tblGrid>
      <w:tr>
        <w:trPr/>
        <w:tc>
          <w:tcPr>
            <w:tcW w:w="104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09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both"/>
              <w:rPr/>
            </w:pPr>
            <w:hyperlink w:anchor="ea030583101ex99-1.htm">
              <w:r>
                <w:rPr>
                  <w:rStyle w:val="InternetLink"/>
                  <w:rFonts w:ascii="Times New Roman;Times;Serif" w:hAnsi="Times New Roman;Times;Serif"/>
                  <w:sz w:val="20"/>
                </w:rPr>
                <w:t>Operating and Financial Review for the Six Months Ended June 30, 2026</w:t>
              </w:r>
            </w:hyperlink>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both"/>
              <w:rPr/>
            </w:pPr>
            <w:r>
              <w:rPr/>
              <w:t> </w:t>
            </w:r>
          </w:p>
        </w:tc>
      </w:tr>
      <w:tr>
        <w:trPr/>
        <w:tc>
          <w:tcPr>
            <w:tcW w:w="10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both"/>
              <w:rPr/>
            </w:pPr>
            <w:hyperlink w:anchor="ea030583101ex99-2.htm">
              <w:r>
                <w:rPr>
                  <w:rStyle w:val="InternetLink"/>
                  <w:rFonts w:ascii="Times New Roman;Times;Serif" w:hAnsi="Times New Roman;Times;Serif"/>
                  <w:sz w:val="20"/>
                </w:rPr>
                <w:t>Unaudited Condensed Consolidated Financial Statements for the Six Months Ended June 30, 2026 and Related Notes</w:t>
              </w:r>
            </w:hyperlink>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Inline XBRL Instance Document.</w:t>
            </w:r>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Inline XBRL Taxonomy Extension Schema Document.</w:t>
            </w:r>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Inline XBRL Taxonomy Extension Calculation Linkbase Document.</w:t>
            </w:r>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Inline XBRL Taxonomy Extension Definition Linkbase Document.</w:t>
            </w:r>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Inline XBRL Taxonomy Extension Labels Linkbase Document.</w:t>
            </w:r>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Inline XBRL Taxonomy Extension Presentation Linkbase Document.</w:t>
            </w:r>
          </w:p>
        </w:tc>
      </w:tr>
      <w:tr>
        <w:trPr/>
        <w:tc>
          <w:tcPr>
            <w:tcW w:w="1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9" w:type="dxa"/>
            <w:tcBorders/>
            <w:shd w:fill="FFFFFF" w:val="clear"/>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9" w:type="dxa"/>
            <w:tcBorders/>
            <w:shd w:fill="CCEE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2135"/>
        <w:gridCol w:w="635"/>
        <w:gridCol w:w="2255"/>
      </w:tblGrid>
      <w:tr>
        <w:trPr/>
        <w:tc>
          <w:tcPr>
            <w:tcW w:w="213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AIOS Tech Inc.</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21,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Guo Li</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Guo Li</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83101ex99-1.htm"/>
      <w:bookmarkStart w:id="3" w:name="ksea030583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FOR THE 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section should be read in conjunction with our unaudited consolidated financial statements and the related notes included elsewhere in this interim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or the context otherwise requires, all references to “the Company,” “our company,” “we,” “our,” “ours,” “us” or similar terms refer to AIOS Tech Inc.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as part of the strategic repositioning of the Company, AIOS Tech Inc. completed the disposal of NiSun International Enterprise Management Group (British Virgin Islands) Co., Ltd. (“NiSun BVI”), formerly a wholly-owned subsidiary of AIOS Tech Inc., and all of its subsidiaries to an unrelated third-party enterprise, discontinuing its former financial services and supply chain trading businesses operated in mainland China. The results of these disposed businesses are presented as discontinued operations, with all prior-period amounts reclassified to conform to the current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relaunched its SME financing solution business outside mainland China through AIOS Tech Inc. On December 1, 2025, it acquired YD Network Technology Company Limited ("YD Network") and shifted its business focus toward information technology services, advancing management's vision of positioning the Company as a provider of AI and technology-empowered professional services.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Following this restructuring, the Company has one single reportable segment which comprise two primary businesses:</w:t>
      </w:r>
    </w:p>
    <w:p>
      <w:pPr>
        <w:pStyle w:val="TextBody"/>
        <w:bidi w:val="0"/>
        <w:spacing w:before="0" w:after="0"/>
        <w:ind w:left="533" w:right="0" w:hanging="363"/>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Small and Medium Enterprise (“SME”) Financing Solutions: we offer a comprehensive range of financing solutions to SMEs, encompassing the design, issuance, distribution, and management of financial products.</w:t>
            </w:r>
          </w:p>
        </w:tc>
      </w:tr>
    </w:tbl>
    <w:p>
      <w:pPr>
        <w:pStyle w:val="TextBody"/>
        <w:bidi w:val="0"/>
        <w:spacing w:before="0" w:after="0"/>
        <w:ind w:left="533" w:right="0" w:hanging="363"/>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Information Technology Services: we deliver digital transformation services including customized IT solutions for the financial sector, data-driven full-stack solutions, and AI-driven end-to-end scenario services, all designed to enhance operational efficiency, optimize processes, and accelerate digitalization through scalable, secure technology.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relates solely to our continuing operations, which primarily comprise the financial results of AIOS Tech Inc. and YD Network. Because YD Network was not owned by the Company during the comparative period, and our overseas SME financing solution business only commenced in June 2025, prior-period contributions are limited, significantly impacting year-over-year comparability.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8"/>
        <w:gridCol w:w="60"/>
        <w:gridCol w:w="140"/>
        <w:gridCol w:w="980"/>
        <w:gridCol w:w="95"/>
        <w:gridCol w:w="60"/>
        <w:gridCol w:w="140"/>
        <w:gridCol w:w="1175"/>
        <w:gridCol w:w="95"/>
        <w:gridCol w:w="60"/>
        <w:gridCol w:w="140"/>
        <w:gridCol w:w="1100"/>
        <w:gridCol w:w="95"/>
        <w:gridCol w:w="60"/>
        <w:gridCol w:w="60"/>
        <w:gridCol w:w="431"/>
        <w:gridCol w:w="276"/>
      </w:tblGrid>
      <w:tr>
        <w:trPr/>
        <w:tc>
          <w:tcPr>
            <w:tcW w:w="52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276" w:type="dxa"/>
            <w:tcBorders/>
            <w:vAlign w:val="center"/>
          </w:tcPr>
          <w:p>
            <w:pPr>
              <w:pStyle w:val="TableContents"/>
              <w:bidi w:val="0"/>
              <w:spacing w:before="0" w:after="283"/>
              <w:jc w:val="left"/>
              <w:rPr/>
            </w:pPr>
            <w:r>
              <w:rPr/>
              <w:t> </w:t>
            </w:r>
          </w:p>
        </w:tc>
      </w:tr>
      <w:tr>
        <w:trPr/>
        <w:tc>
          <w:tcPr>
            <w:tcW w:w="52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6" w:type="dxa"/>
            <w:tcBorders/>
            <w:vAlign w:val="center"/>
          </w:tcPr>
          <w:p>
            <w:pPr>
              <w:pStyle w:val="TableContents"/>
              <w:bidi w:val="0"/>
              <w:spacing w:before="0" w:after="283"/>
              <w:jc w:val="left"/>
              <w:rPr/>
            </w:pPr>
            <w:r>
              <w:rPr/>
              <w:t> </w:t>
            </w:r>
          </w:p>
        </w:tc>
      </w:tr>
      <w:tr>
        <w:trPr/>
        <w:tc>
          <w:tcPr>
            <w:tcW w:w="5238"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1,097,935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1,097,935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CCEEFF" w:val="clear"/>
            <w:vAlign w:val="center"/>
          </w:tcPr>
          <w:p>
            <w:pPr>
              <w:pStyle w:val="TableContents"/>
              <w:bidi w:val="0"/>
              <w:spacing w:before="0" w:after="283"/>
              <w:jc w:val="left"/>
              <w:rPr/>
            </w:pPr>
            <w:r>
              <w:rPr/>
              <w:t> </w:t>
            </w:r>
          </w:p>
        </w:tc>
      </w:tr>
      <w:tr>
        <w:trPr/>
        <w:tc>
          <w:tcPr>
            <w:tcW w:w="5238" w:type="dxa"/>
            <w:tcBorders/>
            <w:shd w:fill="FFFFFF" w:val="clear"/>
            <w:vAlign w:val="center"/>
          </w:tcPr>
          <w:p>
            <w:pPr>
              <w:pStyle w:val="TableContents"/>
              <w:bidi w:val="0"/>
              <w:spacing w:before="0" w:after="283"/>
              <w:jc w:val="both"/>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FFFFFF" w:val="clear"/>
            <w:vAlign w:val="center"/>
          </w:tcPr>
          <w:p>
            <w:pPr>
              <w:pStyle w:val="TableContents"/>
              <w:bidi w:val="0"/>
              <w:spacing w:before="0" w:after="283"/>
              <w:jc w:val="left"/>
              <w:rPr/>
            </w:pPr>
            <w:r>
              <w:rPr/>
              <w:t> </w:t>
            </w:r>
          </w:p>
        </w:tc>
      </w:tr>
      <w:tr>
        <w:trPr/>
        <w:tc>
          <w:tcPr>
            <w:tcW w:w="5238" w:type="dxa"/>
            <w:tcBorders/>
            <w:shd w:fill="CCEEFF" w:val="clear"/>
            <w:vAlign w:val="center"/>
          </w:tcPr>
          <w:p>
            <w:pPr>
              <w:pStyle w:val="TableContents"/>
              <w:bidi w:val="0"/>
              <w:spacing w:before="0" w:after="283"/>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697,935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697,935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CCEEFF" w:val="clear"/>
            <w:vAlign w:val="center"/>
          </w:tcPr>
          <w:p>
            <w:pPr>
              <w:pStyle w:val="TableContents"/>
              <w:bidi w:val="0"/>
              <w:spacing w:before="0" w:after="283"/>
              <w:jc w:val="left"/>
              <w:rPr/>
            </w:pPr>
            <w:r>
              <w:rPr/>
              <w:t> </w:t>
            </w:r>
          </w:p>
        </w:tc>
      </w:tr>
      <w:tr>
        <w:trPr/>
        <w:tc>
          <w:tcPr>
            <w:tcW w:w="5238"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(582,411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(517,254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pPr>
            <w:r>
              <w:rPr/>
              <w:t>794</w:t>
            </w:r>
          </w:p>
        </w:tc>
        <w:tc>
          <w:tcPr>
            <w:tcW w:w="276" w:type="dxa"/>
            <w:tcBorders/>
            <w:shd w:fill="FFFFFF" w:val="clear"/>
            <w:vAlign w:val="center"/>
          </w:tcPr>
          <w:p>
            <w:pPr>
              <w:pStyle w:val="TableContents"/>
              <w:bidi w:val="0"/>
              <w:spacing w:before="0" w:after="283"/>
              <w:jc w:val="left"/>
              <w:rPr/>
            </w:pPr>
            <w:r>
              <w:rPr/>
              <w:t>%</w:t>
            </w:r>
          </w:p>
        </w:tc>
      </w:tr>
      <w:tr>
        <w:trPr/>
        <w:tc>
          <w:tcPr>
            <w:tcW w:w="5238" w:type="dxa"/>
            <w:tcBorders/>
            <w:shd w:fill="CCEEFF" w:val="clear"/>
            <w:vAlign w:val="center"/>
          </w:tcPr>
          <w:p>
            <w:pPr>
              <w:pStyle w:val="TableContents"/>
              <w:bidi w:val="0"/>
              <w:spacing w:before="0" w:after="283"/>
              <w:jc w:val="both"/>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CCEEFF" w:val="clear"/>
            <w:vAlign w:val="center"/>
          </w:tcPr>
          <w:p>
            <w:pPr>
              <w:pStyle w:val="TableContents"/>
              <w:bidi w:val="0"/>
              <w:spacing w:before="0" w:after="283"/>
              <w:jc w:val="left"/>
              <w:rPr/>
            </w:pPr>
            <w:r>
              <w:rPr/>
              <w:t> </w:t>
            </w:r>
          </w:p>
        </w:tc>
      </w:tr>
      <w:tr>
        <w:trPr/>
        <w:tc>
          <w:tcPr>
            <w:tcW w:w="5238" w:type="dxa"/>
            <w:tcBorders/>
            <w:shd w:fill="FFFFFF" w:val="clear"/>
            <w:vAlign w:val="center"/>
          </w:tcPr>
          <w:p>
            <w:pPr>
              <w:pStyle w:val="TableContents"/>
              <w:bidi w:val="0"/>
              <w:spacing w:before="0" w:after="283"/>
              <w:jc w:val="both"/>
              <w:rPr/>
            </w:pPr>
            <w:r>
              <w:rPr/>
              <w:t>Other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515,546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(524,733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1,040,279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FFFFFF" w:val="clear"/>
            <w:vAlign w:val="center"/>
          </w:tcPr>
          <w:p>
            <w:pPr>
              <w:pStyle w:val="TableContents"/>
              <w:bidi w:val="0"/>
              <w:spacing w:before="0" w:after="283"/>
              <w:jc w:val="left"/>
              <w:rPr/>
            </w:pPr>
            <w:r>
              <w:rPr/>
              <w:t> </w:t>
            </w:r>
          </w:p>
        </w:tc>
      </w:tr>
      <w:tr>
        <w:trPr/>
        <w:tc>
          <w:tcPr>
            <w:tcW w:w="5238" w:type="dxa"/>
            <w:tcBorders/>
            <w:shd w:fill="CCEEFF" w:val="clear"/>
            <w:vAlign w:val="center"/>
          </w:tcPr>
          <w:p>
            <w:pPr>
              <w:pStyle w:val="TableContents"/>
              <w:bidi w:val="0"/>
              <w:spacing w:before="0" w:after="283"/>
              <w:jc w:val="left"/>
              <w:rPr/>
            </w:pPr>
            <w:r>
              <w:rPr/>
              <w:t>Income (loss) before income taxes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(589,890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1,220,960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CCEEFF" w:val="clear"/>
            <w:vAlign w:val="center"/>
          </w:tcPr>
          <w:p>
            <w:pPr>
              <w:pStyle w:val="TableContents"/>
              <w:bidi w:val="0"/>
              <w:spacing w:before="0" w:after="283"/>
              <w:jc w:val="left"/>
              <w:rPr/>
            </w:pPr>
            <w:r>
              <w:rPr/>
              <w:t> </w:t>
            </w:r>
          </w:p>
        </w:tc>
      </w:tr>
      <w:tr>
        <w:trPr/>
        <w:tc>
          <w:tcPr>
            <w:tcW w:w="5238" w:type="dxa"/>
            <w:tcBorders/>
            <w:shd w:fill="FFFFFF" w:val="clear"/>
            <w:vAlign w:val="center"/>
          </w:tcPr>
          <w:p>
            <w:pPr>
              <w:pStyle w:val="TableContents"/>
              <w:bidi w:val="0"/>
              <w:spacing w:before="0" w:after="283"/>
              <w:jc w:val="both"/>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ind w:left="0" w:right="0" w:firstLine="200"/>
              <w:jc w:val="left"/>
              <w:rPr/>
            </w:pPr>
            <w:r>
              <w:rPr/>
              <w:t> </w:t>
            </w:r>
          </w:p>
        </w:tc>
      </w:tr>
      <w:tr>
        <w:trPr/>
        <w:tc>
          <w:tcPr>
            <w:tcW w:w="5238" w:type="dxa"/>
            <w:tcBorders/>
            <w:shd w:fill="CCEEFF" w:val="clear"/>
            <w:vAlign w:val="center"/>
          </w:tcPr>
          <w:p>
            <w:pPr>
              <w:pStyle w:val="TableContents"/>
              <w:bidi w:val="0"/>
              <w:spacing w:before="0" w:after="283"/>
              <w:jc w:val="both"/>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599,039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(589,890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1,188,929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CCEEFF" w:val="clear"/>
            <w:vAlign w:val="center"/>
          </w:tcPr>
          <w:p>
            <w:pPr>
              <w:pStyle w:val="TableContents"/>
              <w:bidi w:val="0"/>
              <w:spacing w:before="0" w:after="283"/>
              <w:ind w:left="0" w:right="0" w:firstLine="200"/>
              <w:jc w:val="left"/>
              <w:rPr/>
            </w:pPr>
            <w:r>
              <w:rPr/>
              <w:t> </w:t>
            </w:r>
          </w:p>
        </w:tc>
      </w:tr>
      <w:tr>
        <w:trPr/>
        <w:tc>
          <w:tcPr>
            <w:tcW w:w="5238" w:type="dxa"/>
            <w:tcBorders/>
            <w:shd w:fill="FFFFFF" w:val="clear"/>
            <w:vAlign w:val="center"/>
          </w:tcPr>
          <w:p>
            <w:pPr>
              <w:pStyle w:val="TableContents"/>
              <w:bidi w:val="0"/>
              <w:spacing w:before="0" w:after="283"/>
              <w:jc w:val="both"/>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(69,400,625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69,400,625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76" w:type="dxa"/>
            <w:tcBorders/>
            <w:shd w:fill="FFFFFF" w:val="clear"/>
            <w:vAlign w:val="center"/>
          </w:tcPr>
          <w:p>
            <w:pPr>
              <w:pStyle w:val="TableContents"/>
              <w:bidi w:val="0"/>
              <w:spacing w:before="0" w:after="283"/>
              <w:jc w:val="left"/>
              <w:rPr/>
            </w:pPr>
            <w:r>
              <w:rPr/>
              <w:t> </w:t>
            </w:r>
          </w:p>
        </w:tc>
      </w:tr>
      <w:tr>
        <w:trPr/>
        <w:tc>
          <w:tcPr>
            <w:tcW w:w="5238" w:type="dxa"/>
            <w:tcBorders/>
            <w:shd w:fill="CCEEFF" w:val="clear"/>
            <w:vAlign w:val="center"/>
          </w:tcPr>
          <w:p>
            <w:pPr>
              <w:pStyle w:val="TableContents"/>
              <w:bidi w:val="0"/>
              <w:spacing w:before="0" w:after="283"/>
              <w:jc w:val="both"/>
              <w:rPr/>
            </w:pPr>
            <w:r>
              <w:rPr/>
              <w:t>Net income (loss) attributable to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599,039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(69,993,792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70,592,831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N/A</w:t>
            </w:r>
          </w:p>
        </w:tc>
        <w:tc>
          <w:tcPr>
            <w:tcW w:w="2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comparisons are on a year-over-year (“yoy”) basis unless otherwise noted.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breakdown of our revenue for the six months ended June 30, 2026 and June 30, 2025.</w:t>
      </w:r>
    </w:p>
    <w:p>
      <w:pPr>
        <w:pStyle w:val="TextBody"/>
        <w:bidi w:val="0"/>
        <w:spacing w:before="0" w:after="0"/>
        <w:ind w:left="0" w:right="0" w:firstLine="360"/>
        <w:jc w:val="both"/>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3200"/>
        <w:gridCol w:w="60"/>
        <w:gridCol w:w="157"/>
        <w:gridCol w:w="1099"/>
        <w:gridCol w:w="67"/>
        <w:gridCol w:w="67"/>
        <w:gridCol w:w="67"/>
        <w:gridCol w:w="426"/>
        <w:gridCol w:w="241"/>
        <w:gridCol w:w="67"/>
        <w:gridCol w:w="297"/>
        <w:gridCol w:w="203"/>
        <w:gridCol w:w="67"/>
        <w:gridCol w:w="67"/>
        <w:gridCol w:w="100"/>
        <w:gridCol w:w="160"/>
        <w:gridCol w:w="60"/>
        <w:gridCol w:w="60"/>
        <w:gridCol w:w="140"/>
        <w:gridCol w:w="980"/>
        <w:gridCol w:w="60"/>
        <w:gridCol w:w="60"/>
        <w:gridCol w:w="169"/>
        <w:gridCol w:w="736"/>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Changes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Changes</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41"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Revenue from services:</w:t>
            </w:r>
          </w:p>
        </w:tc>
        <w:tc>
          <w:tcPr>
            <w:tcW w:w="6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gridSpan w:val="2"/>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20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977,935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89</w:t>
            </w:r>
          </w:p>
        </w:tc>
        <w:tc>
          <w:tcPr>
            <w:tcW w:w="241"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977,935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200" w:type="dxa"/>
            <w:tcBorders/>
            <w:shd w:fill="FFFFFF" w:val="clear"/>
            <w:vAlign w:val="center"/>
          </w:tcPr>
          <w:p>
            <w:pPr>
              <w:pStyle w:val="TableContents"/>
              <w:bidi w:val="0"/>
              <w:spacing w:before="0" w:after="283"/>
              <w:jc w:val="left"/>
              <w:rPr/>
            </w:pPr>
            <w:r>
              <w:rPr/>
              <w:t>SME financing solutions services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99" w:type="dxa"/>
            <w:tcBorders>
              <w:bottom w:val="single" w:sz="12" w:space="0" w:color="000000"/>
            </w:tcBorders>
            <w:shd w:fill="FFFFFF" w:val="clear"/>
            <w:tcMar>
              <w:bottom w:w="28" w:type="dxa"/>
            </w:tcMar>
            <w:vAlign w:val="center"/>
          </w:tcPr>
          <w:p>
            <w:pPr>
              <w:pStyle w:val="TableContents"/>
              <w:bidi w:val="0"/>
              <w:spacing w:before="0" w:after="283"/>
              <w:jc w:val="right"/>
              <w:rPr/>
            </w:pPr>
            <w:r>
              <w:rPr/>
              <w:t>120,000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241"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N/A</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20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9" w:type="dxa"/>
            <w:tcBorders>
              <w:bottom w:val="double" w:sz="10" w:space="0" w:color="000000"/>
            </w:tcBorders>
            <w:shd w:fill="CCEEFF" w:val="clear"/>
            <w:tcMar>
              <w:bottom w:w="28" w:type="dxa"/>
            </w:tcMar>
            <w:vAlign w:val="center"/>
          </w:tcPr>
          <w:p>
            <w:pPr>
              <w:pStyle w:val="TableContents"/>
              <w:bidi w:val="0"/>
              <w:spacing w:before="0" w:after="283"/>
              <w:jc w:val="right"/>
              <w:rPr/>
            </w:pPr>
            <w:r>
              <w:rPr/>
              <w:t>1,097,935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41"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1,097,935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was $1.1 million for the six months ended June 30, 2026, as compared to nil in the same period of last fiscal year, primarily due to the inclusion of the revenue of YD Network which was newly acquired in December 2025.</w:t>
            </w:r>
          </w:p>
        </w:tc>
      </w:tr>
    </w:tbl>
    <w:p>
      <w:pPr>
        <w:pStyle w:val="TextBody"/>
        <w:shd w:fill="FFFFFF" w:val="clear"/>
        <w:bidi w:val="0"/>
        <w:spacing w:before="0" w:after="0"/>
        <w:ind w:left="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generated from information technology services was $1.0 million for the six months ended June 30, 2026, as compared to nil in the same period of last fiscal year, due to the acquisition of YD Network in December 2025.</w:t>
            </w:r>
          </w:p>
        </w:tc>
      </w:tr>
    </w:tbl>
    <w:p>
      <w:pPr>
        <w:pStyle w:val="TextBody"/>
        <w:shd w:fill="FFFFFF" w:val="clear"/>
        <w:bidi w:val="0"/>
        <w:spacing w:before="0" w:after="0"/>
        <w:ind w:left="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generated from SME financing solutions services was $0.1 million for the six months ended June 30, 2026 as compared to nil in the same period of last fiscal year, primarily due to the Company's strategic wind-down of its SME financing solutions business to reallocate resources toward the information technology services segment, consistent with the Company's ongoing transformation into an AI-empowered professional services provider.</w:t>
            </w:r>
          </w:p>
        </w:tc>
      </w:tr>
    </w:tbl>
    <w:p>
      <w:pPr>
        <w:pStyle w:val="TextBody"/>
        <w:bidi w:val="0"/>
        <w:spacing w:before="0" w:after="0"/>
        <w:ind w:left="398"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breakdown of our cost of revenue for the six months ended June 30, 2026 and June 30, 2025:</w:t>
      </w:r>
    </w:p>
    <w:p>
      <w:pPr>
        <w:pStyle w:val="TextBody"/>
        <w:bidi w:val="0"/>
        <w:spacing w:before="0" w:after="0"/>
        <w:ind w:left="0" w:right="0" w:hanging="0"/>
        <w:jc w:val="both"/>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3200"/>
        <w:gridCol w:w="60"/>
        <w:gridCol w:w="149"/>
        <w:gridCol w:w="855"/>
        <w:gridCol w:w="64"/>
        <w:gridCol w:w="64"/>
        <w:gridCol w:w="64"/>
        <w:gridCol w:w="406"/>
        <w:gridCol w:w="229"/>
        <w:gridCol w:w="64"/>
        <w:gridCol w:w="149"/>
        <w:gridCol w:w="422"/>
        <w:gridCol w:w="64"/>
        <w:gridCol w:w="64"/>
        <w:gridCol w:w="100"/>
        <w:gridCol w:w="160"/>
        <w:gridCol w:w="215"/>
        <w:gridCol w:w="60"/>
        <w:gridCol w:w="63"/>
        <w:gridCol w:w="842"/>
        <w:gridCol w:w="60"/>
        <w:gridCol w:w="60"/>
        <w:gridCol w:w="197"/>
        <w:gridCol w:w="708"/>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Changes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Changes</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2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Cost of revenue:</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both"/>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both"/>
              <w:rPr/>
            </w:pPr>
            <w:r>
              <w:rPr/>
              <w:t> </w:t>
            </w:r>
          </w:p>
        </w:tc>
        <w:tc>
          <w:tcPr>
            <w:tcW w:w="22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71" w:type="dxa"/>
            <w:gridSpan w:val="2"/>
            <w:tcBorders/>
            <w:vAlign w:val="center"/>
          </w:tcPr>
          <w:p>
            <w:pPr>
              <w:pStyle w:val="TableContents"/>
              <w:bidi w:val="0"/>
              <w:spacing w:before="0" w:after="283"/>
              <w:jc w:val="both"/>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20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400,000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100</w:t>
            </w:r>
          </w:p>
        </w:tc>
        <w:tc>
          <w:tcPr>
            <w:tcW w:w="229"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200" w:type="dxa"/>
            <w:tcBorders/>
            <w:shd w:fill="FFFFFF" w:val="clear"/>
            <w:vAlign w:val="center"/>
          </w:tcPr>
          <w:p>
            <w:pPr>
              <w:pStyle w:val="TableContents"/>
              <w:bidi w:val="0"/>
              <w:spacing w:before="0" w:after="283"/>
              <w:jc w:val="left"/>
              <w:rPr/>
            </w:pPr>
            <w:r>
              <w:rPr/>
              <w:t>SME financing solutions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2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200"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5" w:type="dxa"/>
            <w:tcBorders>
              <w:bottom w:val="double" w:sz="10" w:space="0" w:color="000000"/>
            </w:tcBorders>
            <w:shd w:fill="CCEEFF" w:val="clear"/>
            <w:tcMar>
              <w:bottom w:w="28" w:type="dxa"/>
            </w:tcMar>
            <w:vAlign w:val="center"/>
          </w:tcPr>
          <w:p>
            <w:pPr>
              <w:pStyle w:val="TableContents"/>
              <w:bidi w:val="0"/>
              <w:spacing w:before="0" w:after="283"/>
              <w:jc w:val="right"/>
              <w:rPr/>
            </w:pPr>
            <w:r>
              <w:rPr/>
              <w:t>400,000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06"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29"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2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10" w:space="0" w:color="000000"/>
            </w:tcBorders>
            <w:shd w:fill="CCEEFF" w:val="clear"/>
            <w:tcMar>
              <w:bottom w:w="28" w:type="dxa"/>
            </w:tcM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$0.4 million for the six months ended June 30, 2026, as compared to nil in the same period of the last fiscal year, due to the acquisition of YD Network in December 2025 and the disposal of the legacy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revenues for information technology services was $0.4 million for the six months ended June 30, 2026, as compared to nil in the same period of last fiscal year, reflecting the acquisition of YD Network in December 2025 and the ramp-up of our IT services operations. Cost of revenues for information technology services primarily consist of outsourced personnel costs for information system construction related to client projects.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revenues for SME financing solutions business was nil for the six months ended June 30, 2026, as compared to nil in the same period of last fiscal year. The revenue recognized during these periods was derived from our overseas SME financing solutions business activities that utilized resources of the legacy PRC operations, with all associated costs recorded within the legacy PRC operations, which were disposed of on December 23, 2025 and classified as 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$0.7 million for the six months ended June 30, 2026, as compared to nil in the same period of last fiscal year. Gross margin was 64% for the six months ended June 30, 2026. Gross profit was derived entirely from our information technology services, as the legacy PRC SME financing solution business was disposed of and reclassified as discontinued operations. Our information technology service business is project-based and asset-light with cost of revenue consisting primarily of subcontracting fees and direct project staff costs, and margin is driven by project mix, the proportion of work delivered in-house versus outsourced. Margins may fluctuate period to period depending on project mix and utilization, and there can be no assurance that current levels will be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Operating expenses</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$0.6 million for the six months ended June 30, 2026, compared to $0.1 million in the same period of last fiscal year, primarily due to the acquisition and divestiture mentioned above.</w:t>
      </w:r>
    </w:p>
    <w:p>
      <w:pPr>
        <w:pStyle w:val="TextBody"/>
        <w:bidi w:val="0"/>
        <w:spacing w:before="0" w:after="0"/>
        <w:ind w:left="8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 expenses were $0.6 million for the six months ended June 30, 2026 compared to $0.1 million in the same period of last fiscal year, due to the above mentioned acquisition and disposal. Administrative expenses primarily consist of employee payrolls, professional fees and utilities and general corporate overhead.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from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the Company recorded an income from operations of $0.1 million for the six months ended June 30, 2026, as compared to a loss from operations of $0.1 million in the same period of last fiscal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 was $0.2 million for the six months ended June 30, 2026, compared to a loss of $0.5 million in the same period of the prior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$0.3 million for the six months ended June 30, 2026, as compared to nil in the same period of last fiscal year. The increase was primarily driven by an unrealized gain on equity securities of $272,723.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was $32,031 for the six months ended June 30, 2026, compared with nil in the same period of last fiscal year. The income tax expense mainly relates to income tax expenses incurred by YD Network, a subsidiary newly consolidated in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we recognized a net income from continuing operations of $0.6 million for the six months ended June 30, 2026, compared to a net loss from continuing operations of $0.6 million in the corresponding period of last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loss from discontinued operations was nil for the six months ended June 30, 2026, as compared to a net loss from discontinued operations of $69.4 million in the corresponding period of last fiscal year, representing gains from the disposal of NiSun BVI and its subsidiaries and consolidated VIEs in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our net income attributable to our shareholders was $0.6 million for the six months ended June 30, 2026, as compared to net loss attributable to shareholders of $70.0 million in the corresponding period of last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earnings (loss) per Share from continuing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 per share from continuing operations were $0.27 and $0.27 for the six months ended June 30, 2026, compared with basic and diluted loss of $0.13 and $0.13 per share in the same period of last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Cash Flow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$0.3 million, compared to $1.4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receivables amounted to $28,891,659 as of June 30, 2026, consisting of subscription receivable of $18,825,600, and loans to third parties of $10,066,059.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receivable represents amounts due from shareholders for unpaid consideration related to a private placement offering completed on March 6, 2026. As of the date of this report, approximately $6.08 million of the outstanding subscription receivable had been collected, with the remaining $12.7 million expected to be collected by the end of 2026. Loans to third parties include: (i) loans to a third-party enterprise, which increased from $2.0 million at December 31, 2025 to $4.8 million at June 30, 2026,primarily attributable to additional funds advanced to support the borrower's working capital needs, with a loan term of one year from the date of transfer and bearing interest at 2% per annum; (ii) loans of $5.3 million to another third-party enterprise for its working capital needs. The company can demand repayment of such amount at any time upon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liquidity, the Company diligently monitors and analyzes our cash reserves alongside our operating and capital expenditure commitments. Our liquidity requirements are primarily directed at meet our working capital needs, covering operating expenses, and fulfilling capital expenditure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considerations, management is confident that we possess sufficient funds to meet our working capital requirements for the twelve months following the date of this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summary information about our net cash flows for financial statement periods presented in this report:</w:t>
      </w:r>
    </w:p>
    <w:p>
      <w:pPr>
        <w:pStyle w:val="TextBody"/>
        <w:bidi w:val="0"/>
        <w:spacing w:before="0" w:after="0"/>
        <w:ind w:left="0" w:right="0" w:hanging="0"/>
        <w:jc w:val="both"/>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7145"/>
        <w:gridCol w:w="60"/>
        <w:gridCol w:w="146"/>
        <w:gridCol w:w="1100"/>
        <w:gridCol w:w="99"/>
        <w:gridCol w:w="62"/>
        <w:gridCol w:w="146"/>
        <w:gridCol w:w="1225"/>
        <w:gridCol w:w="110"/>
      </w:tblGrid>
      <w:tr>
        <w:trPr/>
        <w:tc>
          <w:tcPr>
            <w:tcW w:w="7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145" w:type="dxa"/>
            <w:tcBorders/>
            <w:shd w:fill="CCEEFF" w:val="clear"/>
            <w:vAlign w:val="center"/>
          </w:tcPr>
          <w:p>
            <w:pPr>
              <w:pStyle w:val="TableContents"/>
              <w:bidi w:val="0"/>
              <w:spacing w:before="0" w:after="283"/>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1,790,738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(36,772,655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4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(8,092,410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1,796,732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5,174,400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615,022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45" w:type="dxa"/>
            <w:tcBorders/>
            <w:shd w:fill="FFFFFF" w:val="clear"/>
            <w:vAlign w:val="center"/>
          </w:tcPr>
          <w:p>
            <w:pPr>
              <w:pStyle w:val="TableContents"/>
              <w:bidi w:val="0"/>
              <w:spacing w:before="0" w:after="283"/>
              <w:jc w:val="left"/>
              <w:rPr/>
            </w:pPr>
            <w:r>
              <w:rPr/>
              <w:t>Effect of exchange rate change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(581,733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45" w:type="dxa"/>
            <w:tcBorders/>
            <w:shd w:fill="CCEEFF" w:val="clear"/>
            <w:vAlign w:val="center"/>
          </w:tcPr>
          <w:p>
            <w:pPr>
              <w:pStyle w:val="TableContents"/>
              <w:bidi w:val="0"/>
              <w:spacing w:before="0" w:after="283"/>
              <w:jc w:val="left"/>
              <w:rPr/>
            </w:pPr>
            <w:r>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(1,127,272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(34,942,634</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six months ended June 30, 2026 was approximately $1.8 million, which was primarily attributable to net income of approximately $0.6 million, adjusted for non-cash items, which had a net negative impact of approximately $0.2 million, along with adjustments for changes in working capital that totaled approximately $1.4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approximately $36.8 million, which was primarily attributable to net loss of approximately $70.0 million, which was adjusted for non-cash items of approximately positive $75.3 million, reduced by changes in working capital that totaled approximately $42.1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$8.1 million for the six months ended June 30, 2026, primarily attributable to cash outflows of $8.8 million for loans to third parties and $0.2 million for the purchase of short-term investments, partially offset by $0.8 million in collections on third parties loans and $0.1 million in proceeds from the sale of short-term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$1.8 million for the six months ended June 30, 2025, primarily driven by a net cash outflow of $0.3 million loss on the sale of short-term investments, partially offset by $2.0 million in proceeds from the sale of a derivative asset and $0.1 million in proceeds from the disposal of property and equipment.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$5.2 million for the six months ended June 30, 2026, primarily attributable to $5.2 million of proceeds from issuance of ordinary shares. These proceeds represent the cash portion of the private placement completed on March 6, 2026, in which the Company issued 3,000,000 Class A common shares (as adjusted for the reverse share split) and warrants for an aggregate subscription price of US$24.0 million; US$18,825,600 remained receivable as of June 30, 2026 and $6.1 million was subsequently collected in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$0.6 million for the six months ended June 30, 2025, primarily attributable to $0.7 million of proceeds from short-term bank loans, partially offset by $0.1 million in repayments of short-term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US DOLLARS)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6"/>
        <w:gridCol w:w="60"/>
        <w:gridCol w:w="140"/>
        <w:gridCol w:w="1295"/>
        <w:gridCol w:w="95"/>
        <w:gridCol w:w="60"/>
        <w:gridCol w:w="140"/>
        <w:gridCol w:w="1295"/>
        <w:gridCol w:w="84"/>
      </w:tblGrid>
      <w:tr>
        <w:trPr/>
        <w:tc>
          <w:tcPr>
            <w:tcW w:w="70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4" w:type="dxa"/>
            <w:tcBorders/>
            <w:vAlign w:val="center"/>
          </w:tcPr>
          <w:p>
            <w:pPr>
              <w:pStyle w:val="TableContents"/>
              <w:bidi w:val="0"/>
              <w:spacing w:before="0" w:after="283"/>
              <w:jc w:val="left"/>
              <w:rPr/>
            </w:pPr>
            <w:r>
              <w:rPr/>
              <w:t> </w:t>
            </w:r>
          </w:p>
        </w:tc>
      </w:tr>
      <w:tr>
        <w:trPr/>
        <w:tc>
          <w:tcPr>
            <w:tcW w:w="7036"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703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283,402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1,410,674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462,900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2,930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1,580,000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28,891,659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2,050,000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29,757,961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5,043,604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54,083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Non-current assets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48,583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54,083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29,806,544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5,097,687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331,882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Due to related parties -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12,083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99,397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67,367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330,678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411,332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Non-current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330,678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411,332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Class A common share, $0.0001 and $0.2 par value, 9,600,000,000 and 1,500,000 shares authorized, 3,249,337 and 249,255 shares issued, and 3,249,337 and 239,918 shares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49,851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both"/>
              <w:rPr/>
            </w:pPr>
            <w:r>
              <w:rPr/>
              <w:t>Class B common share, $0.0001 and $0.2 par value, 400,000,000 and 50,000 shares authorized, no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(1,469,517</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7036"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165,317,333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141,267,807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(135,841,792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(135,161,786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7036" w:type="dxa"/>
            <w:tcBorders/>
            <w:shd w:fill="CCEEFF" w:val="clear"/>
            <w:vAlign w:val="center"/>
          </w:tcPr>
          <w:p>
            <w:pPr>
              <w:pStyle w:val="TableContents"/>
              <w:bidi w:val="0"/>
              <w:spacing w:before="0" w:after="283"/>
              <w:jc w:val="both"/>
              <w:rPr/>
            </w:pPr>
            <w:r>
              <w:rPr/>
              <w:t>Statutory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COMMON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29,475,866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4,686,355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both"/>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29,475,866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4,686,355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29,806,544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5,097,687</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2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amounts reflect the Company’s 1-for-20 reverse share split effected on April 27, 2026.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INCOME AND COMPREHENSIVE INCOME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6"/>
        <w:gridCol w:w="60"/>
        <w:gridCol w:w="145"/>
        <w:gridCol w:w="1017"/>
        <w:gridCol w:w="98"/>
        <w:gridCol w:w="62"/>
        <w:gridCol w:w="145"/>
        <w:gridCol w:w="1219"/>
        <w:gridCol w:w="313"/>
      </w:tblGrid>
      <w:tr>
        <w:trPr/>
        <w:tc>
          <w:tcPr>
            <w:tcW w:w="71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313"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13"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center"/>
              <w:rPr/>
            </w:pPr>
            <w:r>
              <w:rPr/>
              <w:t> </w:t>
            </w:r>
          </w:p>
        </w:tc>
        <w:tc>
          <w:tcPr>
            <w:tcW w:w="313"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both"/>
              <w:rPr/>
            </w:pPr>
            <w:r>
              <w:rPr/>
              <w:t>REVENUES:</w:t>
            </w:r>
          </w:p>
        </w:tc>
        <w:tc>
          <w:tcPr>
            <w:tcW w:w="60" w:type="dxa"/>
            <w:tcBorders/>
            <w:vAlign w:val="center"/>
          </w:tcPr>
          <w:p>
            <w:pPr>
              <w:pStyle w:val="TableContents"/>
              <w:bidi w:val="0"/>
              <w:spacing w:before="0" w:after="283"/>
              <w:jc w:val="left"/>
              <w:rPr/>
            </w:pPr>
            <w:r>
              <w:rPr/>
              <w:t> </w:t>
            </w:r>
          </w:p>
        </w:tc>
        <w:tc>
          <w:tcPr>
            <w:tcW w:w="1162"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both"/>
              <w:rPr/>
            </w:pPr>
            <w:r>
              <w:rPr/>
              <w:t>Revenue generated from services:</w:t>
            </w:r>
          </w:p>
        </w:tc>
        <w:tc>
          <w:tcPr>
            <w:tcW w:w="60" w:type="dxa"/>
            <w:tcBorders/>
            <w:vAlign w:val="center"/>
          </w:tcPr>
          <w:p>
            <w:pPr>
              <w:pStyle w:val="TableContents"/>
              <w:bidi w:val="0"/>
              <w:spacing w:before="0" w:after="283"/>
              <w:jc w:val="left"/>
              <w:rPr/>
            </w:pPr>
            <w:r>
              <w:rPr/>
              <w:t> </w:t>
            </w:r>
          </w:p>
        </w:tc>
        <w:tc>
          <w:tcPr>
            <w:tcW w:w="1162"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Small and Medium Enterprise financing solutions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120,000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Information Technology services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977,935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1,097,935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(400,000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697,935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(582,411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(65,157</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(582,411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(65,157</w:t>
            </w:r>
          </w:p>
        </w:tc>
        <w:tc>
          <w:tcPr>
            <w:tcW w:w="313" w:type="dxa"/>
            <w:tcBorders/>
            <w:shd w:fill="FFFFFF" w:val="clear"/>
            <w:vAlign w:val="center"/>
          </w:tcPr>
          <w:p>
            <w:pPr>
              <w:pStyle w:val="TableContents"/>
              <w:bidi w:val="0"/>
              <w:spacing w:before="0" w:after="283"/>
              <w:jc w:val="left"/>
              <w:rPr/>
            </w:pPr>
            <w:r>
              <w:rPr/>
              <w:t>)</w:t>
            </w:r>
          </w:p>
        </w:tc>
      </w:tr>
      <w:tr>
        <w:trPr/>
        <w:tc>
          <w:tcPr>
            <w:tcW w:w="7146" w:type="dxa"/>
            <w:tcBorders/>
            <w:shd w:fill="CCEEFF" w:val="clear"/>
            <w:vAlign w:val="center"/>
          </w:tcPr>
          <w:p>
            <w:pPr>
              <w:pStyle w:val="TableContents"/>
              <w:bidi w:val="0"/>
              <w:spacing w:before="0" w:after="283"/>
              <w:jc w:val="both"/>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115,524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(65,157</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Interest and investment income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160,907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(524,733</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354,639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515,546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(524,733</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INCOME (LOSS) BEFORE INCOME TAXES FROM CONTINUING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631,070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(589,890</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(32,031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599,039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(589,890</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ind w:left="0" w:right="0" w:hanging="180"/>
              <w:jc w:val="left"/>
              <w:rPr/>
            </w:pPr>
            <w:r>
              <w:rPr/>
              <w:t> </w:t>
            </w:r>
          </w:p>
        </w:tc>
      </w:tr>
      <w:tr>
        <w:trPr/>
        <w:tc>
          <w:tcPr>
            <w:tcW w:w="7146" w:type="dxa"/>
            <w:tcBorders/>
            <w:shd w:fill="CCEEFF" w:val="clear"/>
            <w:vAlign w:val="center"/>
          </w:tcPr>
          <w:p>
            <w:pPr>
              <w:pStyle w:val="TableContents"/>
              <w:bidi w:val="0"/>
              <w:spacing w:before="0" w:after="283"/>
              <w:jc w:val="both"/>
              <w:rPr/>
            </w:pPr>
            <w:r>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(69,400,625</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599,039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(69,990,515</w:t>
            </w:r>
          </w:p>
        </w:tc>
        <w:tc>
          <w:tcPr>
            <w:tcW w:w="313" w:type="dxa"/>
            <w:tcBorders/>
            <w:shd w:fill="FFFFFF" w:val="clear"/>
            <w:vAlign w:val="center"/>
          </w:tcPr>
          <w:p>
            <w:pPr>
              <w:pStyle w:val="TableContents"/>
              <w:bidi w:val="0"/>
              <w:spacing w:before="0" w:after="283"/>
              <w:jc w:val="left"/>
              <w:rPr/>
            </w:pPr>
            <w:r>
              <w:rPr/>
              <w:t>)</w:t>
            </w:r>
          </w:p>
        </w:tc>
      </w:tr>
      <w:tr>
        <w:trPr/>
        <w:tc>
          <w:tcPr>
            <w:tcW w:w="7146" w:type="dxa"/>
            <w:tcBorders/>
            <w:shd w:fill="CCEEFF" w:val="clear"/>
            <w:vAlign w:val="center"/>
          </w:tcPr>
          <w:p>
            <w:pPr>
              <w:pStyle w:val="TableContents"/>
              <w:bidi w:val="0"/>
              <w:spacing w:before="0" w:after="283"/>
              <w:jc w:val="both"/>
              <w:rPr/>
            </w:pPr>
            <w:r>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ind w:left="0" w:right="0" w:firstLine="200"/>
              <w:jc w:val="left"/>
              <w:rPr/>
            </w:pPr>
            <w:r>
              <w:rPr/>
              <w:t> </w:t>
            </w:r>
          </w:p>
        </w:tc>
      </w:tr>
      <w:tr>
        <w:trPr/>
        <w:tc>
          <w:tcPr>
            <w:tcW w:w="7146" w:type="dxa"/>
            <w:tcBorders/>
            <w:shd w:fill="FFFFFF" w:val="clear"/>
            <w:vAlign w:val="center"/>
          </w:tcPr>
          <w:p>
            <w:pPr>
              <w:pStyle w:val="TableContents"/>
              <w:bidi w:val="0"/>
              <w:spacing w:before="0" w:after="283"/>
              <w:jc w:val="both"/>
              <w:rPr/>
            </w:pPr>
            <w:r>
              <w:rPr/>
              <w:t>Continued 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(3,277</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NET INCOME (LOSS) ATTRIBUTABLE TO SHAREHOLDERS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7" w:type="dxa"/>
            <w:tcBorders/>
            <w:shd w:fill="FFFFFF" w:val="clear"/>
            <w:vAlign w:val="center"/>
          </w:tcPr>
          <w:p>
            <w:pPr>
              <w:pStyle w:val="TableContents"/>
              <w:bidi w:val="0"/>
              <w:spacing w:before="0" w:after="283"/>
              <w:jc w:val="right"/>
              <w:rPr/>
            </w:pPr>
            <w:r>
              <w:rPr/>
              <w:t>599,039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19" w:type="dxa"/>
            <w:tcBorders/>
            <w:shd w:fill="FFFFFF" w:val="clear"/>
            <w:vAlign w:val="center"/>
          </w:tcPr>
          <w:p>
            <w:pPr>
              <w:pStyle w:val="TableContents"/>
              <w:bidi w:val="0"/>
              <w:spacing w:before="0" w:after="283"/>
              <w:jc w:val="right"/>
              <w:rPr/>
            </w:pPr>
            <w:r>
              <w:rPr/>
              <w:t>(69,993,792</w:t>
            </w:r>
          </w:p>
        </w:tc>
        <w:tc>
          <w:tcPr>
            <w:tcW w:w="313" w:type="dxa"/>
            <w:tcBorders/>
            <w:shd w:fill="FFFFFF" w:val="clear"/>
            <w:vAlign w:val="center"/>
          </w:tcPr>
          <w:p>
            <w:pPr>
              <w:pStyle w:val="TableContents"/>
              <w:bidi w:val="0"/>
              <w:spacing w:before="0" w:after="283"/>
              <w:jc w:val="left"/>
              <w:rPr/>
            </w:pPr>
            <w:r>
              <w:rPr/>
              <w:t>)</w:t>
            </w:r>
          </w:p>
        </w:tc>
      </w:tr>
      <w:tr>
        <w:trPr/>
        <w:tc>
          <w:tcPr>
            <w:tcW w:w="7146" w:type="dxa"/>
            <w:tcBorders/>
            <w:shd w:fill="CCEEFF" w:val="clear"/>
            <w:vAlign w:val="center"/>
          </w:tcPr>
          <w:p>
            <w:pPr>
              <w:pStyle w:val="TableContents"/>
              <w:bidi w:val="0"/>
              <w:spacing w:before="0" w:after="283"/>
              <w:jc w:val="both"/>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599,039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(589,890</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(69,403,902</w:t>
            </w:r>
          </w:p>
        </w:tc>
        <w:tc>
          <w:tcPr>
            <w:tcW w:w="313" w:type="dxa"/>
            <w:tcBorders/>
            <w:shd w:fill="FFFFFF" w:val="clear"/>
            <w:vAlign w:val="center"/>
          </w:tcPr>
          <w:p>
            <w:pPr>
              <w:pStyle w:val="TableContents"/>
              <w:bidi w:val="0"/>
              <w:spacing w:before="0" w:after="283"/>
              <w:jc w:val="left"/>
              <w:rPr/>
            </w:pPr>
            <w:r>
              <w:rPr/>
              <w:t>)</w:t>
            </w:r>
          </w:p>
        </w:tc>
      </w:tr>
      <w:tr>
        <w:trPr/>
        <w:tc>
          <w:tcPr>
            <w:tcW w:w="714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Foreign currency translation gains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4,045,915</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599,039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(65,947,877</w:t>
            </w:r>
          </w:p>
        </w:tc>
        <w:tc>
          <w:tcPr>
            <w:tcW w:w="313" w:type="dxa"/>
            <w:tcBorders/>
            <w:shd w:fill="FFFFFF" w:val="clear"/>
            <w:vAlign w:val="center"/>
          </w:tcPr>
          <w:p>
            <w:pPr>
              <w:pStyle w:val="TableContents"/>
              <w:bidi w:val="0"/>
              <w:spacing w:before="0" w:after="283"/>
              <w:jc w:val="left"/>
              <w:rPr/>
            </w:pPr>
            <w:r>
              <w:rPr/>
              <w:t>)</w:t>
            </w:r>
          </w:p>
        </w:tc>
      </w:tr>
      <w:tr>
        <w:trPr/>
        <w:tc>
          <w:tcPr>
            <w:tcW w:w="7146" w:type="dxa"/>
            <w:tcBorders/>
            <w:shd w:fill="CCEEFF" w:val="clear"/>
            <w:vAlign w:val="center"/>
          </w:tcPr>
          <w:p>
            <w:pPr>
              <w:pStyle w:val="TableContents"/>
              <w:bidi w:val="0"/>
              <w:spacing w:before="0" w:after="283"/>
              <w:jc w:val="both"/>
              <w:rPr/>
            </w:pPr>
            <w:r>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(41</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COMPREHENSIVE INCOME (LOSS) ATTRIBUTABLE TO SHAREHOLDERS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shd w:fill="FFFFFF" w:val="clear"/>
            <w:tcMar>
              <w:bottom w:w="28" w:type="dxa"/>
            </w:tcMar>
            <w:vAlign w:val="center"/>
          </w:tcPr>
          <w:p>
            <w:pPr>
              <w:pStyle w:val="TableContents"/>
              <w:bidi w:val="0"/>
              <w:spacing w:before="0" w:after="283"/>
              <w:jc w:val="right"/>
              <w:rPr/>
            </w:pPr>
            <w:r>
              <w:rPr/>
              <w:t>599,039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FFFFFF" w:val="clear"/>
            <w:tcMar>
              <w:bottom w:w="28" w:type="dxa"/>
            </w:tcMar>
            <w:vAlign w:val="center"/>
          </w:tcPr>
          <w:p>
            <w:pPr>
              <w:pStyle w:val="TableContents"/>
              <w:bidi w:val="0"/>
              <w:spacing w:before="0" w:after="283"/>
              <w:jc w:val="right"/>
              <w:rPr/>
            </w:pPr>
            <w:r>
              <w:rPr/>
              <w:t>(65,947,918</w:t>
            </w:r>
          </w:p>
        </w:tc>
        <w:tc>
          <w:tcPr>
            <w:tcW w:w="313" w:type="dxa"/>
            <w:tcBorders/>
            <w:shd w:fill="FFFFFF" w:val="clear"/>
            <w:vAlign w:val="center"/>
          </w:tcPr>
          <w:p>
            <w:pPr>
              <w:pStyle w:val="TableContents"/>
              <w:bidi w:val="0"/>
              <w:spacing w:before="0" w:after="283"/>
              <w:jc w:val="left"/>
              <w:rPr/>
            </w:pPr>
            <w:r>
              <w:rPr/>
              <w:t>)</w:t>
            </w:r>
          </w:p>
        </w:tc>
      </w:tr>
      <w:tr>
        <w:trPr/>
        <w:tc>
          <w:tcPr>
            <w:tcW w:w="714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both"/>
              <w:rPr/>
            </w:pPr>
            <w:r>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both"/>
              <w:rPr/>
            </w:pPr>
            <w:r>
              <w:rPr/>
              <w:t>EARNINGS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shd w:fill="CCEEFF" w:val="clear"/>
            <w:tcMar>
              <w:bottom w:w="28" w:type="dxa"/>
            </w:tcMar>
            <w:vAlign w:val="center"/>
          </w:tcPr>
          <w:p>
            <w:pPr>
              <w:pStyle w:val="TableContents"/>
              <w:bidi w:val="0"/>
              <w:spacing w:before="0" w:after="283"/>
              <w:jc w:val="right"/>
              <w:rPr/>
            </w:pPr>
            <w:r>
              <w:rPr/>
              <w:t>0.27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(15.31</w:t>
            </w:r>
          </w:p>
        </w:tc>
        <w:tc>
          <w:tcPr>
            <w:tcW w:w="313" w:type="dxa"/>
            <w:tcBorders/>
            <w:shd w:fill="CCEEFF" w:val="clear"/>
            <w:vAlign w:val="center"/>
          </w:tcPr>
          <w:p>
            <w:pPr>
              <w:pStyle w:val="TableContents"/>
              <w:bidi w:val="0"/>
              <w:spacing w:before="0" w:after="283"/>
              <w:ind w:left="0" w:right="0" w:firstLine="200"/>
              <w:jc w:val="left"/>
              <w:rPr/>
            </w:pPr>
            <w:r>
              <w:rPr/>
              <w:t>)</w:t>
            </w:r>
          </w:p>
        </w:tc>
      </w:tr>
      <w:tr>
        <w:trPr/>
        <w:tc>
          <w:tcPr>
            <w:tcW w:w="7146"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0.27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(0.13</w:t>
            </w:r>
          </w:p>
        </w:tc>
        <w:tc>
          <w:tcPr>
            <w:tcW w:w="313" w:type="dxa"/>
            <w:tcBorders/>
            <w:shd w:fill="FFFFFF" w:val="clear"/>
            <w:vAlign w:val="center"/>
          </w:tcPr>
          <w:p>
            <w:pPr>
              <w:pStyle w:val="TableContents"/>
              <w:bidi w:val="0"/>
              <w:spacing w:before="0" w:after="283"/>
              <w:ind w:left="0" w:right="0" w:firstLine="200"/>
              <w:jc w:val="left"/>
              <w:rPr/>
            </w:pPr>
            <w:r>
              <w:rPr/>
              <w:t>)</w:t>
            </w:r>
          </w:p>
        </w:tc>
      </w:tr>
      <w:tr>
        <w:trPr/>
        <w:tc>
          <w:tcPr>
            <w:tcW w:w="7146"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(15.18</w:t>
            </w:r>
          </w:p>
        </w:tc>
        <w:tc>
          <w:tcPr>
            <w:tcW w:w="313" w:type="dxa"/>
            <w:tcBorders/>
            <w:shd w:fill="CCEEFF" w:val="clear"/>
            <w:vAlign w:val="center"/>
          </w:tcPr>
          <w:p>
            <w:pPr>
              <w:pStyle w:val="TableContents"/>
              <w:bidi w:val="0"/>
              <w:spacing w:before="0" w:after="283"/>
              <w:jc w:val="left"/>
              <w:rPr/>
            </w:pPr>
            <w:r>
              <w:rPr/>
              <w:t>)</w:t>
            </w:r>
          </w:p>
        </w:tc>
      </w:tr>
      <w:tr>
        <w:trPr/>
        <w:tc>
          <w:tcPr>
            <w:tcW w:w="7146" w:type="dxa"/>
            <w:tcBorders/>
            <w:shd w:fill="FFFFFF" w:val="clear"/>
            <w:vAlign w:val="center"/>
          </w:tcPr>
          <w:p>
            <w:pPr>
              <w:pStyle w:val="TableContents"/>
              <w:bidi w:val="0"/>
              <w:spacing w:before="0" w:after="283"/>
              <w:jc w:val="both"/>
              <w:rPr/>
            </w:pPr>
            <w:r>
              <w:rPr/>
              <w:t>Weighted average number of shares outstanding-basic and 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double" w:sz="10" w:space="0" w:color="000000"/>
            </w:tcBorders>
            <w:shd w:fill="FFFFFF" w:val="clear"/>
            <w:tcMar>
              <w:bottom w:w="28" w:type="dxa"/>
            </w:tcMar>
            <w:vAlign w:val="center"/>
          </w:tcPr>
          <w:p>
            <w:pPr>
              <w:pStyle w:val="TableContents"/>
              <w:bidi w:val="0"/>
              <w:spacing w:before="0" w:after="283"/>
              <w:jc w:val="right"/>
              <w:rPr/>
            </w:pPr>
            <w:r>
              <w:rPr/>
              <w:t>2,188,511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double" w:sz="10" w:space="0" w:color="000000"/>
            </w:tcBorders>
            <w:shd w:fill="FFFFFF" w:val="clear"/>
            <w:tcMar>
              <w:bottom w:w="28" w:type="dxa"/>
            </w:tcMar>
            <w:vAlign w:val="center"/>
          </w:tcPr>
          <w:p>
            <w:pPr>
              <w:pStyle w:val="TableContents"/>
              <w:bidi w:val="0"/>
              <w:spacing w:before="0" w:after="283"/>
              <w:jc w:val="right"/>
              <w:rPr/>
            </w:pPr>
            <w:r>
              <w:rPr/>
              <w:t>4,571,235</w:t>
            </w:r>
          </w:p>
        </w:tc>
        <w:tc>
          <w:tcPr>
            <w:tcW w:w="3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125"/>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amounts reflect the Company’s 1-for-20 reverse share split effected on April 27,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47"/>
        <w:gridCol w:w="60"/>
        <w:gridCol w:w="140"/>
        <w:gridCol w:w="1064"/>
        <w:gridCol w:w="95"/>
        <w:gridCol w:w="60"/>
        <w:gridCol w:w="140"/>
        <w:gridCol w:w="1185"/>
        <w:gridCol w:w="114"/>
      </w:tblGrid>
      <w:tr>
        <w:trPr/>
        <w:tc>
          <w:tcPr>
            <w:tcW w:w="7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4" w:type="dxa"/>
            <w:tcBorders/>
            <w:vAlign w:val="center"/>
          </w:tcPr>
          <w:p>
            <w:pPr>
              <w:pStyle w:val="TableContents"/>
              <w:bidi w:val="0"/>
              <w:spacing w:before="0" w:after="283"/>
              <w:jc w:val="left"/>
              <w:rPr/>
            </w:pPr>
            <w:r>
              <w:rPr/>
              <w:t> </w:t>
            </w:r>
          </w:p>
        </w:tc>
      </w:tr>
      <w:tr>
        <w:trPr/>
        <w:tc>
          <w:tcPr>
            <w:tcW w:w="7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3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both"/>
              <w:rPr/>
            </w:pPr>
            <w:r>
              <w:rPr/>
              <w:t> </w:t>
            </w:r>
          </w:p>
        </w:tc>
        <w:tc>
          <w:tcPr>
            <w:tcW w:w="114" w:type="dxa"/>
            <w:tcBorders/>
            <w:vAlign w:val="center"/>
          </w:tcPr>
          <w:p>
            <w:pPr>
              <w:pStyle w:val="TableContents"/>
              <w:bidi w:val="0"/>
              <w:spacing w:before="0" w:after="283"/>
              <w:jc w:val="left"/>
              <w:rPr/>
            </w:pPr>
            <w:r>
              <w:rPr/>
              <w:t> </w:t>
            </w:r>
          </w:p>
        </w:tc>
      </w:tr>
      <w:tr>
        <w:trPr/>
        <w:tc>
          <w:tcPr>
            <w:tcW w:w="7347"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599,039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(69,990,515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Adjustments to reconcile net income(loss)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5,500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603,233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Income from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(406,915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Deferred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7,880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Repurchase 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524,733</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Shares issued for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190,472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1,558,200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Increase in 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(26,704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Impairment loss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55,275,084</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Impairment for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17,373,793</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1,460,000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17,546,090</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Advance to suppliers,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(89,624,037</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12,604,807</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Receivables from supply chain solutions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(597,404</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(6,850,778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23,295,164</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Advance from customers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4,081,187</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32,030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(2,040,306</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(241,031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2,319,145</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Payable to supply chain solutions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(2,364,228</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(502,399</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(21,653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7,696</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1,790,738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(36,772,655</w:t>
            </w:r>
          </w:p>
        </w:tc>
        <w:tc>
          <w:tcPr>
            <w:tcW w:w="114" w:type="dxa"/>
            <w:tcBorders/>
            <w:shd w:fill="FFFFFF" w:val="clear"/>
            <w:vAlign w:val="center"/>
          </w:tcPr>
          <w:p>
            <w:pPr>
              <w:pStyle w:val="TableContents"/>
              <w:bidi w:val="0"/>
              <w:spacing w:before="0" w:after="283"/>
              <w:jc w:val="left"/>
              <w:rPr>
                <w:b/>
              </w:rPr>
            </w:pPr>
            <w:r>
              <w:rPr>
                <w:b/>
              </w:rPr>
              <w:t>)</w:t>
            </w:r>
          </w:p>
        </w:tc>
      </w:tr>
      <w:tr>
        <w:trPr/>
        <w:tc>
          <w:tcPr>
            <w:tcW w:w="73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Acquisition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(14,469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(2,048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Proceeds from sale of 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134,192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Proceeds from sale of Derivative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2,009,193</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70,538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(187,247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(266,482</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Payment for business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Proceeds from disposal of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Collections of loans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Payments made for loans to third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(8,839,355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(8,092,410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1,796,732</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Proceeds from issuance of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5,174,400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Repayment of short-term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(74,385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Proceeds from short-term bank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689,407</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NET CASH PRIVIDED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5,174,400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615,022</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EFFECT OF EXCHANGE RATE CHANGE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(581,733</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7347" w:type="dxa"/>
            <w:tcBorders/>
            <w:shd w:fill="FFFFFF" w:val="clear"/>
            <w:vAlign w:val="center"/>
          </w:tcPr>
          <w:p>
            <w:pPr>
              <w:pStyle w:val="TableContents"/>
              <w:bidi w:val="0"/>
              <w:spacing w:before="0" w:after="283"/>
              <w:jc w:val="left"/>
              <w:rPr>
                <w:b/>
              </w:rPr>
            </w:pPr>
            <w:r>
              <w:rPr>
                <w:b/>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(1,127,272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(34,942,634</w:t>
            </w:r>
          </w:p>
        </w:tc>
        <w:tc>
          <w:tcPr>
            <w:tcW w:w="114" w:type="dxa"/>
            <w:tcBorders/>
            <w:shd w:fill="FFFFFF" w:val="clear"/>
            <w:vAlign w:val="center"/>
          </w:tcPr>
          <w:p>
            <w:pPr>
              <w:pStyle w:val="TableContents"/>
              <w:bidi w:val="0"/>
              <w:spacing w:before="0" w:after="283"/>
              <w:ind w:left="0" w:right="0" w:hanging="180"/>
              <w:jc w:val="left"/>
              <w:rPr>
                <w:b/>
              </w:rPr>
            </w:pPr>
            <w:r>
              <w:rPr>
                <w:b/>
              </w:rPr>
              <w:t>)</w:t>
            </w:r>
          </w:p>
        </w:tc>
      </w:tr>
      <w:tr>
        <w:trPr/>
        <w:tc>
          <w:tcPr>
            <w:tcW w:w="73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CASH AND CASH EQUIVALENTS AND RESTRICTED CASH FROM CONTINUING OPERATIONS-BEGINNING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1,410,674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45,021,759</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CASH AND CASH EQUIVALENTS AND RESTRICTED CASH FROM CONTINUING OPERATIONS-ENDING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283,402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10,079,125</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SUPPLEMENTAL CASH FLOW DISCLOSURES: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1,591,459</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74,385</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SUPPLEMENTAL DISCLOSURE OF NON-CASH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Issuance of shares for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190,472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260,000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4" w:name="ea030583101ex99-2.htm"/>
      <w:bookmarkStart w:id="5" w:name="ksea030583101ex992"/>
      <w:bookmarkEnd w:id="4"/>
      <w:bookmarkEnd w:id="5"/>
      <w:r>
        <w:rPr>
          <w:b/>
        </w:rPr>
        <w:t>Exhibit 99.2</w:t>
      </w:r>
      <w:r>
        <w:br w:type="page"/>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13"/>
        <w:gridCol w:w="60"/>
        <w:gridCol w:w="432"/>
      </w:tblGrid>
      <w:tr>
        <w:trPr/>
        <w:tc>
          <w:tcPr>
            <w:tcW w:w="9713" w:type="dxa"/>
            <w:tcBorders>
              <w:bottom w:val="single" w:sz="12" w:space="0" w:color="000000"/>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CONTENTS</w:t>
            </w:r>
          </w:p>
        </w:tc>
        <w:tc>
          <w:tcPr>
            <w:tcW w:w="60" w:type="dxa"/>
            <w:tcBorders/>
            <w:tcMar>
              <w:bottom w:w="0" w:type="dxa"/>
            </w:tcMar>
            <w:vAlign w:val="center"/>
          </w:tcPr>
          <w:p>
            <w:pPr>
              <w:pStyle w:val="TableContents"/>
              <w:bidi w:val="0"/>
              <w:spacing w:before="0" w:after="283"/>
              <w:jc w:val="center"/>
              <w:rPr/>
            </w:pPr>
            <w:r>
              <w:rPr/>
              <w:t> </w:t>
            </w:r>
          </w:p>
        </w:tc>
        <w:tc>
          <w:tcPr>
            <w:tcW w:w="432"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71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32" w:type="dxa"/>
            <w:tcBorders/>
            <w:tcMar>
              <w:bottom w:w="0" w:type="dxa"/>
            </w:tcMar>
            <w:vAlign w:val="center"/>
          </w:tcPr>
          <w:p>
            <w:pPr>
              <w:pStyle w:val="TableContents"/>
              <w:bidi w:val="0"/>
              <w:spacing w:before="0" w:after="283"/>
              <w:ind w:left="0" w:right="0" w:hanging="180"/>
              <w:jc w:val="both"/>
              <w:rPr/>
            </w:pPr>
            <w:r>
              <w:rPr/>
              <w:t> </w:t>
            </w:r>
          </w:p>
        </w:tc>
      </w:tr>
      <w:tr>
        <w:trPr/>
        <w:tc>
          <w:tcPr>
            <w:tcW w:w="9713" w:type="dxa"/>
            <w:tcBorders/>
            <w:shd w:fill="CCEEFF" w:val="clear"/>
            <w:tcMar>
              <w:bottom w:w="0" w:type="dxa"/>
            </w:tcMar>
            <w:vAlign w:val="center"/>
          </w:tcPr>
          <w:p>
            <w:pPr>
              <w:pStyle w:val="TableContents"/>
              <w:bidi w:val="0"/>
              <w:spacing w:before="0" w:after="283"/>
              <w:jc w:val="both"/>
              <w:rPr/>
            </w:pPr>
            <w:hyperlink w:anchor="fin_001">
              <w:r>
                <w:rPr>
                  <w:rStyle w:val="InternetLink"/>
                  <w:rFonts w:ascii="Times New Roman;Times;Serif" w:hAnsi="Times New Roman;Times;Serif"/>
                  <w:strike w:val="false"/>
                  <w:dstrike w:val="false"/>
                  <w:sz w:val="20"/>
                  <w:u w:val="single"/>
                  <w:effect w:val="none"/>
                </w:rPr>
                <w:t>Unaudited Consolidated Balance Sheets at December 31, 2025 and June 30,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32"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71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32" w:type="dxa"/>
            <w:tcBorders/>
            <w:tcMar>
              <w:bottom w:w="0" w:type="dxa"/>
            </w:tcMar>
            <w:vAlign w:val="center"/>
          </w:tcPr>
          <w:p>
            <w:pPr>
              <w:pStyle w:val="TableContents"/>
              <w:bidi w:val="0"/>
              <w:spacing w:before="0" w:after="283"/>
              <w:ind w:left="0" w:right="0" w:hanging="180"/>
              <w:jc w:val="both"/>
              <w:rPr/>
            </w:pPr>
            <w:r>
              <w:rPr/>
              <w:t> </w:t>
            </w:r>
          </w:p>
        </w:tc>
      </w:tr>
      <w:tr>
        <w:trPr/>
        <w:tc>
          <w:tcPr>
            <w:tcW w:w="9713" w:type="dxa"/>
            <w:tcBorders/>
            <w:shd w:fill="CCEEFF" w:val="clear"/>
            <w:tcMar>
              <w:bottom w:w="0" w:type="dxa"/>
            </w:tcMar>
            <w:vAlign w:val="center"/>
          </w:tcPr>
          <w:p>
            <w:pPr>
              <w:pStyle w:val="TableContents"/>
              <w:bidi w:val="0"/>
              <w:spacing w:before="0" w:after="283"/>
              <w:jc w:val="both"/>
              <w:rPr/>
            </w:pPr>
            <w:hyperlink w:anchor="fin_002">
              <w:r>
                <w:rPr>
                  <w:rStyle w:val="InternetLink"/>
                  <w:rFonts w:ascii="Times New Roman;Times;Serif" w:hAnsi="Times New Roman;Times;Serif"/>
                  <w:strike w:val="false"/>
                  <w:dstrike w:val="false"/>
                  <w:sz w:val="20"/>
                  <w:u w:val="single"/>
                  <w:effect w:val="none"/>
                </w:rPr>
                <w:t>Unaudited Consolidated Statement of Operations and Comprehensive Income (Loss)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32"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71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32" w:type="dxa"/>
            <w:tcBorders/>
            <w:tcMar>
              <w:bottom w:w="0" w:type="dxa"/>
            </w:tcMar>
            <w:vAlign w:val="center"/>
          </w:tcPr>
          <w:p>
            <w:pPr>
              <w:pStyle w:val="TableContents"/>
              <w:bidi w:val="0"/>
              <w:spacing w:before="0" w:after="283"/>
              <w:ind w:left="0" w:right="0" w:hanging="180"/>
              <w:jc w:val="both"/>
              <w:rPr/>
            </w:pPr>
            <w:r>
              <w:rPr/>
              <w:t> </w:t>
            </w:r>
          </w:p>
        </w:tc>
      </w:tr>
      <w:tr>
        <w:trPr/>
        <w:tc>
          <w:tcPr>
            <w:tcW w:w="9713" w:type="dxa"/>
            <w:tcBorders/>
            <w:shd w:fill="CCEEFF" w:val="clear"/>
            <w:tcMar>
              <w:bottom w:w="0" w:type="dxa"/>
            </w:tcMar>
            <w:vAlign w:val="center"/>
          </w:tcPr>
          <w:p>
            <w:pPr>
              <w:pStyle w:val="TableContents"/>
              <w:bidi w:val="0"/>
              <w:spacing w:before="0" w:after="283"/>
              <w:jc w:val="both"/>
              <w:rPr/>
            </w:pPr>
            <w:hyperlink w:anchor="fin_003">
              <w:r>
                <w:rPr>
                  <w:rStyle w:val="InternetLink"/>
                  <w:rFonts w:ascii="Times New Roman;Times;Serif" w:hAnsi="Times New Roman;Times;Serif"/>
                  <w:strike w:val="false"/>
                  <w:dstrike w:val="false"/>
                  <w:sz w:val="20"/>
                  <w:u w:val="single"/>
                  <w:effect w:val="none"/>
                </w:rPr>
                <w:t>Unaudited Consolidated Statement of Changes in Shareholders’ Equity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32"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71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32" w:type="dxa"/>
            <w:tcBorders/>
            <w:tcMar>
              <w:bottom w:w="0" w:type="dxa"/>
            </w:tcMar>
            <w:vAlign w:val="center"/>
          </w:tcPr>
          <w:p>
            <w:pPr>
              <w:pStyle w:val="TableContents"/>
              <w:bidi w:val="0"/>
              <w:spacing w:before="0" w:after="283"/>
              <w:ind w:left="0" w:right="0" w:hanging="180"/>
              <w:jc w:val="both"/>
              <w:rPr/>
            </w:pPr>
            <w:r>
              <w:rPr/>
              <w:t> </w:t>
            </w:r>
          </w:p>
        </w:tc>
      </w:tr>
      <w:tr>
        <w:trPr/>
        <w:tc>
          <w:tcPr>
            <w:tcW w:w="9713" w:type="dxa"/>
            <w:tcBorders/>
            <w:shd w:fill="CCEEFF" w:val="clear"/>
            <w:tcMar>
              <w:bottom w:w="0" w:type="dxa"/>
            </w:tcMar>
            <w:vAlign w:val="center"/>
          </w:tcPr>
          <w:p>
            <w:pPr>
              <w:pStyle w:val="TableContents"/>
              <w:bidi w:val="0"/>
              <w:spacing w:before="0" w:after="283"/>
              <w:jc w:val="both"/>
              <w:rPr/>
            </w:pPr>
            <w:hyperlink w:anchor="fin_004">
              <w:r>
                <w:rPr>
                  <w:rStyle w:val="InternetLink"/>
                  <w:rFonts w:ascii="Times New Roman;Times;Serif" w:hAnsi="Times New Roman;Times;Serif"/>
                  <w:strike w:val="false"/>
                  <w:dstrike w:val="false"/>
                  <w:sz w:val="20"/>
                  <w:u w:val="single"/>
                  <w:effect w:val="none"/>
                </w:rPr>
                <w:t>Unaudited Consolidated Statements of Cash Flows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32"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97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32" w:type="dxa"/>
            <w:tcBorders/>
            <w:tcMar>
              <w:bottom w:w="0" w:type="dxa"/>
            </w:tcMar>
            <w:vAlign w:val="center"/>
          </w:tcPr>
          <w:p>
            <w:pPr>
              <w:pStyle w:val="TableContents"/>
              <w:bidi w:val="0"/>
              <w:spacing w:before="0" w:after="283"/>
              <w:ind w:left="0" w:right="0" w:hanging="180"/>
              <w:jc w:val="both"/>
              <w:rPr/>
            </w:pPr>
            <w:r>
              <w:rPr/>
              <w:t> </w:t>
            </w:r>
          </w:p>
        </w:tc>
      </w:tr>
      <w:tr>
        <w:trPr/>
        <w:tc>
          <w:tcPr>
            <w:tcW w:w="9713" w:type="dxa"/>
            <w:tcBorders/>
            <w:shd w:fill="CCEEFF" w:val="clear"/>
            <w:tcMar>
              <w:bottom w:w="0" w:type="dxa"/>
            </w:tcMar>
            <w:vAlign w:val="center"/>
          </w:tcPr>
          <w:p>
            <w:pPr>
              <w:pStyle w:val="TableContents"/>
              <w:bidi w:val="0"/>
              <w:spacing w:before="0" w:after="283"/>
              <w:jc w:val="both"/>
              <w:rPr/>
            </w:pPr>
            <w:hyperlink w:anchor="fin_005">
              <w:r>
                <w:rPr>
                  <w:rStyle w:val="InternetLink"/>
                  <w:rFonts w:ascii="Times New Roman;Times;Serif" w:hAnsi="Times New Roman;Times;Serif"/>
                  <w:strike w:val="false"/>
                  <w:dstrike w:val="false"/>
                  <w:sz w:val="20"/>
                  <w:u w:val="single"/>
                  <w:effect w:val="none"/>
                </w:rPr>
                <w:t>Notes to the Unaudited Consolidated Financial Statements</w:t>
              </w:r>
            </w:hyperlink>
          </w:p>
        </w:tc>
        <w:tc>
          <w:tcPr>
            <w:tcW w:w="60" w:type="dxa"/>
            <w:tcBorders/>
            <w:shd w:fill="CCEEFF" w:val="clear"/>
            <w:tcMar>
              <w:bottom w:w="0" w:type="dxa"/>
            </w:tcMar>
            <w:vAlign w:val="center"/>
          </w:tcPr>
          <w:p>
            <w:pPr>
              <w:pStyle w:val="TableContents"/>
              <w:bidi w:val="0"/>
              <w:spacing w:before="0" w:after="283"/>
              <w:jc w:val="both"/>
              <w:rPr>
                <w:strike w:val="false"/>
                <w:dstrike w:val="false"/>
                <w:u w:val="single"/>
                <w:effect w:val="none"/>
              </w:rPr>
            </w:pPr>
            <w:r>
              <w:rPr>
                <w:strike w:val="false"/>
                <w:dstrike w:val="false"/>
                <w:u w:val="single"/>
                <w:effect w:val="none"/>
              </w:rPr>
              <w:t> </w:t>
            </w:r>
          </w:p>
        </w:tc>
        <w:tc>
          <w:tcPr>
            <w:tcW w:w="432" w:type="dxa"/>
            <w:tcBorders/>
            <w:shd w:fill="CCEEFF" w:val="clear"/>
            <w:tcMar>
              <w:bottom w:w="0" w:type="dxa"/>
            </w:tcMar>
            <w:vAlign w:val="center"/>
          </w:tcPr>
          <w:p>
            <w:pPr>
              <w:pStyle w:val="TableContents"/>
              <w:bidi w:val="0"/>
              <w:spacing w:before="0" w:after="283"/>
              <w:jc w:val="center"/>
              <w:rPr>
                <w:rFonts w:ascii="Times New Roman;Times;Serif" w:hAnsi="Times New Roman;Times;Serif"/>
                <w:strike w:val="false"/>
                <w:dstrike w:val="false"/>
                <w:sz w:val="20"/>
                <w:u w:val="single"/>
                <w:effect w:val="none"/>
              </w:rPr>
            </w:pPr>
            <w:r>
              <w:rPr>
                <w:rFonts w:ascii="Times New Roman;Times;Serif" w:hAnsi="Times New Roman;Times;Serif"/>
                <w:strike w:val="false"/>
                <w:dstrike w:val="false"/>
                <w:sz w:val="20"/>
                <w:u w:val="single"/>
                <w:effect w:val="none"/>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fin_001"/>
      <w:bookmarkEnd w:id="6"/>
      <w:r>
        <w:rPr>
          <w:rFonts w:ascii="Times New Roman;Times;Serif" w:hAnsi="Times New Roman;Times;Serif"/>
          <w:b/>
          <w:i w:val="false"/>
          <w:caps w:val="false"/>
          <w:smallCaps w:val="false"/>
          <w:sz w:val="20"/>
        </w:rPr>
        <w:t>AIOS TECH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283,402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1,410,674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462,900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2,930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1,580,000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28,891,659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2,050,000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29,757,961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5,043,604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54,083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48,583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54,083</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29,806,544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5,097,687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331,882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Due to related parties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12,083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99,397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67,367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330,678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411,332</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330,678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411,332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10" w:type="dxa"/>
            <w:tcBorders/>
            <w:shd w:fill="FFFFFF" w:val="clear"/>
            <w:vAlign w:val="center"/>
          </w:tcPr>
          <w:p>
            <w:pPr>
              <w:pStyle w:val="TableContents"/>
              <w:bidi w:val="0"/>
              <w:spacing w:before="0" w:after="283"/>
              <w:jc w:val="left"/>
              <w:rPr/>
            </w:pPr>
            <w:r>
              <w:rPr/>
              <w:t>Class A common shares, $0.0001 and $0.2 par value, 9,600,000,000 and 1,500,000 shares authorized, 3,249,337 and 249,255 shares issued, and 3,249,337 and 239,918 shares outstanding as of June 30,2026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49,851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10" w:type="dxa"/>
            <w:tcBorders/>
            <w:shd w:fill="CCEEFF" w:val="clear"/>
            <w:vAlign w:val="center"/>
          </w:tcPr>
          <w:p>
            <w:pPr>
              <w:pStyle w:val="TableContents"/>
              <w:bidi w:val="0"/>
              <w:spacing w:before="0" w:after="283"/>
              <w:jc w:val="left"/>
              <w:rPr/>
            </w:pPr>
            <w:r>
              <w:rPr/>
              <w:t>Class B common share, $0.0001 and $0.2 par value, 400,000,000 and 50,000 shares authorized, nil shares issued and outstanding as of June 30,2026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(1,469,517</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165,317,333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141,267,807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(135,841,792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(135,161,786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29,475,866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4,686,355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29,806,544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5,097,687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financial statements give retroactive effect to the 1-for-20 reverse share split effected on April 27,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in_002"/>
      <w:bookmarkEnd w:id="7"/>
      <w:r>
        <w:rPr>
          <w:rFonts w:ascii="Times New Roman;Times;Serif" w:hAnsi="Times New Roman;Times;Serif"/>
          <w:b/>
          <w:i w:val="false"/>
          <w:caps w:val="false"/>
          <w:smallCaps w:val="false"/>
          <w:sz w:val="20"/>
        </w:rPr>
        <w:t>AIOS 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OPERATIONS AND COMPREHENSIVE (LOSS)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1"/>
        <w:gridCol w:w="60"/>
        <w:gridCol w:w="147"/>
        <w:gridCol w:w="1034"/>
        <w:gridCol w:w="99"/>
        <w:gridCol w:w="63"/>
        <w:gridCol w:w="147"/>
        <w:gridCol w:w="1241"/>
        <w:gridCol w:w="293"/>
      </w:tblGrid>
      <w:tr>
        <w:trPr/>
        <w:tc>
          <w:tcPr>
            <w:tcW w:w="71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93" w:type="dxa"/>
            <w:tcBorders/>
            <w:vAlign w:val="center"/>
          </w:tcPr>
          <w:p>
            <w:pPr>
              <w:pStyle w:val="TableContents"/>
              <w:bidi w:val="0"/>
              <w:spacing w:before="0" w:after="283"/>
              <w:jc w:val="left"/>
              <w:rPr/>
            </w:pPr>
            <w:r>
              <w:rPr/>
              <w:t> </w:t>
            </w:r>
          </w:p>
        </w:tc>
      </w:tr>
      <w:tr>
        <w:trPr/>
        <w:tc>
          <w:tcPr>
            <w:tcW w:w="71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3" w:type="dxa"/>
            <w:tcBorders/>
            <w:vAlign w:val="center"/>
          </w:tcPr>
          <w:p>
            <w:pPr>
              <w:pStyle w:val="TableContents"/>
              <w:bidi w:val="0"/>
              <w:spacing w:before="0" w:after="283"/>
              <w:jc w:val="left"/>
              <w:rPr/>
            </w:pPr>
            <w:r>
              <w:rPr/>
              <w:t> </w:t>
            </w:r>
          </w:p>
        </w:tc>
      </w:tr>
      <w:tr>
        <w:trPr/>
        <w:tc>
          <w:tcPr>
            <w:tcW w:w="7121" w:type="dxa"/>
            <w:tcBorders/>
            <w:vAlign w:val="center"/>
          </w:tcPr>
          <w:p>
            <w:pPr>
              <w:pStyle w:val="TableContents"/>
              <w:bidi w:val="0"/>
              <w:spacing w:before="0" w:after="283"/>
              <w:jc w:val="both"/>
              <w:rPr/>
            </w:pPr>
            <w:r>
              <w:rPr/>
              <w:t>REVENUES:</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r>
      <w:tr>
        <w:trPr/>
        <w:tc>
          <w:tcPr>
            <w:tcW w:w="7121" w:type="dxa"/>
            <w:tcBorders/>
            <w:vAlign w:val="center"/>
          </w:tcPr>
          <w:p>
            <w:pPr>
              <w:pStyle w:val="TableContents"/>
              <w:bidi w:val="0"/>
              <w:spacing w:before="0" w:after="283"/>
              <w:jc w:val="both"/>
              <w:rPr/>
            </w:pPr>
            <w:r>
              <w:rPr/>
              <w:t>Revenue generated from services:</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Small and Medium Enterprise financing solutions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120,000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Information Technology services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977,935</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1,097,935</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Cost of revenue - services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(400,000</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697,935</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(582,411</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(65,157</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(582,411</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(65,157</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115,524</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(65,157</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Interest and investment income (expense)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160,907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(524,733</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354,639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515,546</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(524,733</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INCOME (LOSS) BEFORE INCOME TAXES FROM CONTINUING OPERATIONS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631,070</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(589,890</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(32,031</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599,039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(589,890</w:t>
            </w:r>
          </w:p>
        </w:tc>
        <w:tc>
          <w:tcPr>
            <w:tcW w:w="293" w:type="dxa"/>
            <w:tcBorders/>
            <w:shd w:fill="FFFFFF" w:val="clear"/>
            <w:vAlign w:val="center"/>
          </w:tcPr>
          <w:p>
            <w:pPr>
              <w:pStyle w:val="TableContents"/>
              <w:bidi w:val="0"/>
              <w:spacing w:before="0" w:after="283"/>
              <w:ind w:left="0" w:right="0" w:hanging="180"/>
              <w:jc w:val="left"/>
              <w:rPr/>
            </w:pPr>
            <w:r>
              <w:rPr/>
              <w:t>)</w:t>
            </w:r>
          </w:p>
        </w:tc>
      </w:tr>
      <w:tr>
        <w:trPr/>
        <w:tc>
          <w:tcPr>
            <w:tcW w:w="7121" w:type="dxa"/>
            <w:tcBorders/>
            <w:shd w:fill="CCEEFF" w:val="clear"/>
            <w:vAlign w:val="center"/>
          </w:tcPr>
          <w:p>
            <w:pPr>
              <w:pStyle w:val="TableContents"/>
              <w:bidi w:val="0"/>
              <w:spacing w:before="0" w:after="283"/>
              <w:jc w:val="both"/>
              <w:rPr/>
            </w:pPr>
            <w:r>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(69,400,625</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599,039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(69,990,515</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ind w:left="0" w:right="0" w:firstLine="180"/>
              <w:jc w:val="left"/>
              <w:rPr/>
            </w:pPr>
            <w:r>
              <w:rPr/>
              <w:t> </w:t>
            </w:r>
          </w:p>
        </w:tc>
      </w:tr>
      <w:tr>
        <w:trPr/>
        <w:tc>
          <w:tcPr>
            <w:tcW w:w="7121" w:type="dxa"/>
            <w:tcBorders/>
            <w:shd w:fill="FFFFFF" w:val="clear"/>
            <w:vAlign w:val="center"/>
          </w:tcPr>
          <w:p>
            <w:pPr>
              <w:pStyle w:val="TableContents"/>
              <w:bidi w:val="0"/>
              <w:spacing w:before="0" w:after="283"/>
              <w:jc w:val="both"/>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pPr>
            <w:r>
              <w:rPr/>
              <w:t>(3,277</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NET INCOME (LOSS) ATTRIBUTABLE TO SHAREHOLDERS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599,039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241" w:type="dxa"/>
            <w:tcBorders/>
            <w:shd w:fill="FFFFFF" w:val="clear"/>
            <w:vAlign w:val="center"/>
          </w:tcPr>
          <w:p>
            <w:pPr>
              <w:pStyle w:val="TableContents"/>
              <w:bidi w:val="0"/>
              <w:spacing w:before="0" w:after="283"/>
              <w:jc w:val="right"/>
              <w:rPr/>
            </w:pPr>
            <w:r>
              <w:rPr/>
              <w:t>(69,993,792</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599,039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(589,890</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(69,403,902</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Foreign currency translation gains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4,045,915</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COMPREHENSIVE INCOME (LOSS)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599,039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(65,947,877</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Comprehensive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(41</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COMPREHENSIVE INCOME (LOSS) ATTRIBUTABLE TO SHAREHOLDERS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599,039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1" w:type="dxa"/>
            <w:tcBorders>
              <w:bottom w:val="double" w:sz="10" w:space="0" w:color="000000"/>
            </w:tcBorders>
            <w:shd w:fill="CCEEFF" w:val="clear"/>
            <w:tcMar>
              <w:bottom w:w="28" w:type="dxa"/>
            </w:tcMar>
            <w:vAlign w:val="center"/>
          </w:tcPr>
          <w:p>
            <w:pPr>
              <w:pStyle w:val="TableContents"/>
              <w:bidi w:val="0"/>
              <w:spacing w:before="0" w:after="283"/>
              <w:jc w:val="right"/>
              <w:rPr/>
            </w:pPr>
            <w:r>
              <w:rPr/>
              <w:t>(65,947,918</w:t>
            </w:r>
          </w:p>
        </w:tc>
        <w:tc>
          <w:tcPr>
            <w:tcW w:w="293" w:type="dxa"/>
            <w:tcBorders/>
            <w:shd w:fill="CCEEFF" w:val="clear"/>
            <w:vAlign w:val="center"/>
          </w:tcPr>
          <w:p>
            <w:pPr>
              <w:pStyle w:val="TableContents"/>
              <w:bidi w:val="0"/>
              <w:spacing w:before="0" w:after="283"/>
              <w:jc w:val="left"/>
              <w:rPr/>
            </w:pPr>
            <w:r>
              <w:rPr/>
              <w:t>)</w:t>
            </w:r>
          </w:p>
        </w:tc>
      </w:tr>
      <w:tr>
        <w:trPr/>
        <w:tc>
          <w:tcPr>
            <w:tcW w:w="712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r>
      <w:tr>
        <w:trPr/>
        <w:tc>
          <w:tcPr>
            <w:tcW w:w="7121" w:type="dxa"/>
            <w:tcBorders/>
            <w:shd w:fill="CCEEFF" w:val="clear"/>
            <w:vAlign w:val="center"/>
          </w:tcPr>
          <w:p>
            <w:pPr>
              <w:pStyle w:val="TableContents"/>
              <w:bidi w:val="0"/>
              <w:spacing w:before="0" w:after="283"/>
              <w:jc w:val="both"/>
              <w:rPr/>
            </w:pPr>
            <w:r>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7121" w:type="dxa"/>
            <w:tcBorders/>
            <w:shd w:fill="FFFFFF" w:val="clear"/>
            <w:vAlign w:val="center"/>
          </w:tcPr>
          <w:p>
            <w:pPr>
              <w:pStyle w:val="TableContents"/>
              <w:bidi w:val="0"/>
              <w:spacing w:before="0" w:after="283"/>
              <w:jc w:val="both"/>
              <w:rPr/>
            </w:pPr>
            <w:r>
              <w:rPr/>
              <w:t>EARNINGS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FFFFFF" w:val="clear"/>
            <w:tcMar>
              <w:bottom w:w="28" w:type="dxa"/>
            </w:tcMar>
            <w:vAlign w:val="center"/>
          </w:tcPr>
          <w:p>
            <w:pPr>
              <w:pStyle w:val="TableContents"/>
              <w:bidi w:val="0"/>
              <w:spacing w:before="0" w:after="283"/>
              <w:jc w:val="right"/>
              <w:rPr/>
            </w:pPr>
            <w:r>
              <w:rPr/>
              <w:t>0.27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1" w:type="dxa"/>
            <w:tcBorders>
              <w:bottom w:val="double" w:sz="10" w:space="0" w:color="000000"/>
            </w:tcBorders>
            <w:shd w:fill="FFFFFF" w:val="clear"/>
            <w:tcMar>
              <w:bottom w:w="28" w:type="dxa"/>
            </w:tcMar>
            <w:vAlign w:val="center"/>
          </w:tcPr>
          <w:p>
            <w:pPr>
              <w:pStyle w:val="TableContents"/>
              <w:bidi w:val="0"/>
              <w:spacing w:before="0" w:after="283"/>
              <w:jc w:val="right"/>
              <w:rPr/>
            </w:pPr>
            <w:r>
              <w:rPr/>
              <w:t>(15.31</w:t>
            </w:r>
          </w:p>
        </w:tc>
        <w:tc>
          <w:tcPr>
            <w:tcW w:w="293" w:type="dxa"/>
            <w:tcBorders/>
            <w:shd w:fill="FFFFFF" w:val="clear"/>
            <w:vAlign w:val="center"/>
          </w:tcPr>
          <w:p>
            <w:pPr>
              <w:pStyle w:val="TableContents"/>
              <w:bidi w:val="0"/>
              <w:spacing w:before="0" w:after="283"/>
              <w:ind w:left="0" w:right="0" w:firstLine="180"/>
              <w:jc w:val="left"/>
              <w:rPr/>
            </w:pPr>
            <w:r>
              <w:rPr/>
              <w:t>)</w:t>
            </w:r>
          </w:p>
        </w:tc>
      </w:tr>
      <w:tr>
        <w:trPr/>
        <w:tc>
          <w:tcPr>
            <w:tcW w:w="7121" w:type="dxa"/>
            <w:tcBorders/>
            <w:shd w:fill="CCEEFF" w:val="clear"/>
            <w:vAlign w:val="center"/>
          </w:tcPr>
          <w:p>
            <w:pPr>
              <w:pStyle w:val="TableContents"/>
              <w:bidi w:val="0"/>
              <w:spacing w:before="0" w:after="283"/>
              <w:jc w:val="both"/>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0.27</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(0.13</w:t>
            </w:r>
          </w:p>
        </w:tc>
        <w:tc>
          <w:tcPr>
            <w:tcW w:w="293" w:type="dxa"/>
            <w:tcBorders/>
            <w:shd w:fill="CCEEFF" w:val="clear"/>
            <w:vAlign w:val="center"/>
          </w:tcPr>
          <w:p>
            <w:pPr>
              <w:pStyle w:val="TableContents"/>
              <w:bidi w:val="0"/>
              <w:spacing w:before="0" w:after="283"/>
              <w:ind w:left="0" w:right="0" w:firstLine="180"/>
              <w:jc w:val="left"/>
              <w:rPr/>
            </w:pPr>
            <w:r>
              <w:rPr/>
              <w:t>)</w:t>
            </w:r>
          </w:p>
        </w:tc>
      </w:tr>
      <w:tr>
        <w:trPr/>
        <w:tc>
          <w:tcPr>
            <w:tcW w:w="7121"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(15.18</w:t>
            </w:r>
          </w:p>
        </w:tc>
        <w:tc>
          <w:tcPr>
            <w:tcW w:w="293" w:type="dxa"/>
            <w:tcBorders/>
            <w:shd w:fill="FFFFFF" w:val="clear"/>
            <w:vAlign w:val="center"/>
          </w:tcPr>
          <w:p>
            <w:pPr>
              <w:pStyle w:val="TableContents"/>
              <w:bidi w:val="0"/>
              <w:spacing w:before="0" w:after="283"/>
              <w:jc w:val="left"/>
              <w:rPr/>
            </w:pPr>
            <w:r>
              <w:rPr/>
              <w:t>)</w:t>
            </w:r>
          </w:p>
        </w:tc>
      </w:tr>
      <w:tr>
        <w:trPr/>
        <w:tc>
          <w:tcPr>
            <w:tcW w:w="7121" w:type="dxa"/>
            <w:tcBorders/>
            <w:shd w:fill="CCEEFF" w:val="clear"/>
            <w:vAlign w:val="center"/>
          </w:tcPr>
          <w:p>
            <w:pPr>
              <w:pStyle w:val="TableContents"/>
              <w:bidi w:val="0"/>
              <w:spacing w:before="0" w:after="283"/>
              <w:jc w:val="both"/>
              <w:rPr/>
            </w:pPr>
            <w:r>
              <w:rPr/>
              <w:t>Weighted average number of shares outstanding-basic and diluted*</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2,188,511</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double" w:sz="10" w:space="0" w:color="000000"/>
            </w:tcBorders>
            <w:shd w:fill="CCEEFF" w:val="clear"/>
            <w:tcMar>
              <w:bottom w:w="28" w:type="dxa"/>
            </w:tcMar>
            <w:vAlign w:val="center"/>
          </w:tcPr>
          <w:p>
            <w:pPr>
              <w:pStyle w:val="TableContents"/>
              <w:bidi w:val="0"/>
              <w:spacing w:before="0" w:after="283"/>
              <w:jc w:val="right"/>
              <w:rPr/>
            </w:pPr>
            <w:r>
              <w:rPr/>
              <w:t>4,571,235</w:t>
            </w:r>
          </w:p>
        </w:tc>
        <w:tc>
          <w:tcPr>
            <w:tcW w:w="2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25"/>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financial statements give retroactive effect to the 1-for-20 reverse share split effected on April 27, 2026.</w:t>
            </w:r>
          </w:p>
        </w:tc>
      </w:tr>
    </w:tbl>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in_003"/>
      <w:bookmarkEnd w:id="8"/>
      <w:r>
        <w:rPr>
          <w:rFonts w:ascii="Times New Roman;Times;Serif" w:hAnsi="Times New Roman;Times;Serif"/>
          <w:b/>
          <w:i w:val="false"/>
          <w:caps w:val="false"/>
          <w:smallCaps w:val="false"/>
          <w:sz w:val="20"/>
        </w:rPr>
        <w:t>AIOS 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(EXPRESSED IN US DOLLARS)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890" w:type="dxa"/>
        <w:jc w:val="left"/>
        <w:tblInd w:w="0" w:type="dxa"/>
        <w:tblLayout w:type="fixed"/>
        <w:tblCellMar>
          <w:top w:w="0" w:type="dxa"/>
          <w:left w:w="0" w:type="dxa"/>
          <w:bottom w:w="0" w:type="dxa"/>
          <w:right w:w="0" w:type="dxa"/>
        </w:tblCellMar>
      </w:tblPr>
      <w:tblGrid>
        <w:gridCol w:w="995"/>
        <w:gridCol w:w="60"/>
        <w:gridCol w:w="60"/>
        <w:gridCol w:w="605"/>
        <w:gridCol w:w="60"/>
        <w:gridCol w:w="60"/>
        <w:gridCol w:w="63"/>
        <w:gridCol w:w="542"/>
        <w:gridCol w:w="60"/>
        <w:gridCol w:w="60"/>
        <w:gridCol w:w="60"/>
        <w:gridCol w:w="920"/>
        <w:gridCol w:w="60"/>
        <w:gridCol w:w="60"/>
        <w:gridCol w:w="60"/>
        <w:gridCol w:w="890"/>
        <w:gridCol w:w="80"/>
        <w:gridCol w:w="60"/>
        <w:gridCol w:w="60"/>
        <w:gridCol w:w="830"/>
        <w:gridCol w:w="60"/>
        <w:gridCol w:w="60"/>
        <w:gridCol w:w="71"/>
        <w:gridCol w:w="1059"/>
        <w:gridCol w:w="80"/>
        <w:gridCol w:w="60"/>
        <w:gridCol w:w="61"/>
        <w:gridCol w:w="754"/>
        <w:gridCol w:w="60"/>
        <w:gridCol w:w="60"/>
        <w:gridCol w:w="60"/>
        <w:gridCol w:w="665"/>
        <w:gridCol w:w="80"/>
        <w:gridCol w:w="60"/>
        <w:gridCol w:w="60"/>
        <w:gridCol w:w="800"/>
        <w:gridCol w:w="80"/>
        <w:gridCol w:w="60"/>
        <w:gridCol w:w="60"/>
        <w:gridCol w:w="920"/>
        <w:gridCol w:w="75"/>
      </w:tblGrid>
      <w:tr>
        <w:trPr/>
        <w:tc>
          <w:tcPr>
            <w:tcW w:w="99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br/>
              <w:t>Common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w:t>
              <w:br/>
              <w:t>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Treasury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br/>
              <w:t>Shareholders’</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236,255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139,712,207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72,517,990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13,229,313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(17,491,069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4,366,430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(186,738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(1,253,012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211,129,110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(69,993,792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(69,990,515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Statutory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(359,601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359,601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Treasury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524,733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524,733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issued for shares-based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1,558,200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4,045,874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4,045,915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249,255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141,267,807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2,164,597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13,588,914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(13,445,195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4,369,748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(186,738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(728,279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147,267,443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(EXPRESSED IN US DOLLARS)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1045" w:type="dxa"/>
        <w:jc w:val="left"/>
        <w:tblInd w:w="0" w:type="dxa"/>
        <w:tblLayout w:type="fixed"/>
        <w:tblCellMar>
          <w:top w:w="0" w:type="dxa"/>
          <w:left w:w="0" w:type="dxa"/>
          <w:bottom w:w="0" w:type="dxa"/>
          <w:right w:w="0" w:type="dxa"/>
        </w:tblCellMar>
      </w:tblPr>
      <w:tblGrid>
        <w:gridCol w:w="1055"/>
        <w:gridCol w:w="60"/>
        <w:gridCol w:w="60"/>
        <w:gridCol w:w="740"/>
        <w:gridCol w:w="60"/>
        <w:gridCol w:w="60"/>
        <w:gridCol w:w="60"/>
        <w:gridCol w:w="575"/>
        <w:gridCol w:w="80"/>
        <w:gridCol w:w="60"/>
        <w:gridCol w:w="60"/>
        <w:gridCol w:w="920"/>
        <w:gridCol w:w="80"/>
        <w:gridCol w:w="60"/>
        <w:gridCol w:w="60"/>
        <w:gridCol w:w="980"/>
        <w:gridCol w:w="80"/>
        <w:gridCol w:w="60"/>
        <w:gridCol w:w="98"/>
        <w:gridCol w:w="627"/>
        <w:gridCol w:w="60"/>
        <w:gridCol w:w="60"/>
        <w:gridCol w:w="196"/>
        <w:gridCol w:w="934"/>
        <w:gridCol w:w="60"/>
        <w:gridCol w:w="60"/>
        <w:gridCol w:w="111"/>
        <w:gridCol w:w="704"/>
        <w:gridCol w:w="60"/>
        <w:gridCol w:w="60"/>
        <w:gridCol w:w="60"/>
        <w:gridCol w:w="665"/>
        <w:gridCol w:w="80"/>
        <w:gridCol w:w="60"/>
        <w:gridCol w:w="60"/>
        <w:gridCol w:w="800"/>
        <w:gridCol w:w="80"/>
        <w:gridCol w:w="60"/>
        <w:gridCol w:w="65"/>
        <w:gridCol w:w="900"/>
        <w:gridCol w:w="75"/>
      </w:tblGrid>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Treasury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Shareholders’</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75" w:type="dxa"/>
            <w:tcBorders/>
            <w:vAlign w:val="center"/>
          </w:tcPr>
          <w:p>
            <w:pPr>
              <w:pStyle w:val="TableContents"/>
              <w:bidi w:val="0"/>
              <w:spacing w:before="0" w:after="283"/>
              <w:ind w:left="0" w:right="0" w:hanging="180"/>
              <w:jc w:val="left"/>
              <w:rPr/>
            </w:pPr>
            <w:r>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249,255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141,267,807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(135,161,786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(186,738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(1,469,517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4,686,355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599,039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599,039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190,472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Reissuance of treasury shares for share-based compensations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(190,472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(1,279,045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186,738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1,469,517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issued for adjustments to reverse stock split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Adjustment Due to Change in 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shares in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23,999,700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24,000,000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3,249,337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165,317,333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(135,841,792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29,475,866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25"/>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financial statements give retroactive effect to the 1-for-20 reverse share split effected on April 27, 2026.</w:t>
            </w:r>
          </w:p>
        </w:tc>
      </w:tr>
    </w:tbl>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fin_004"/>
      <w:bookmarkEnd w:id="9"/>
      <w:r>
        <w:rPr>
          <w:rFonts w:ascii="Times New Roman;Times;Serif" w:hAnsi="Times New Roman;Times;Serif"/>
          <w:b/>
          <w:i w:val="false"/>
          <w:caps w:val="false"/>
          <w:smallCaps w:val="false"/>
          <w:sz w:val="20"/>
        </w:rPr>
        <w:t>AIOS 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4"/>
        <w:gridCol w:w="60"/>
        <w:gridCol w:w="142"/>
        <w:gridCol w:w="1120"/>
        <w:gridCol w:w="96"/>
        <w:gridCol w:w="60"/>
        <w:gridCol w:w="142"/>
        <w:gridCol w:w="1197"/>
        <w:gridCol w:w="104"/>
      </w:tblGrid>
      <w:tr>
        <w:trPr/>
        <w:tc>
          <w:tcPr>
            <w:tcW w:w="7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04" w:type="dxa"/>
            <w:tcBorders/>
            <w:vAlign w:val="center"/>
          </w:tcPr>
          <w:p>
            <w:pPr>
              <w:pStyle w:val="TableContents"/>
              <w:bidi w:val="0"/>
              <w:spacing w:before="0" w:after="283"/>
              <w:jc w:val="left"/>
              <w:rPr/>
            </w:pPr>
            <w:r>
              <w:rPr/>
              <w:t> </w:t>
            </w:r>
          </w:p>
        </w:tc>
      </w:tr>
      <w:tr>
        <w:trPr/>
        <w:tc>
          <w:tcPr>
            <w:tcW w:w="7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r>
      <w:tr>
        <w:trPr/>
        <w:tc>
          <w:tcPr>
            <w:tcW w:w="7284"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599,039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(69,990,515</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Adjustments to reconcile net income(loss)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5,500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603,233</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Income from investments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(406,915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Deferred tax benefit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7,880</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Repurchase treasury shares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524,733</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Shares issued for compensation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190,472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1,558,200</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Increase in interest receivable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(26,704</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Impairment loss of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55,275,084</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Impairment for goodwill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17,373,793</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1,460,000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17,546,090</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Advance to suppliers,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(89,624,037</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12,604,807</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Receivables from supply chain solutions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(597,404</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(6,850,778</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728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200,000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23,295,164</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Advance from customers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4,081,187</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32,030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(2,040,306</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(241,031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2,319,145</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Payable to supply chain solutions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(2,364,228</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(502,399</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7284"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(21,653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7,696</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b/>
              </w:rPr>
            </w:pPr>
            <w:r>
              <w:rPr>
                <w:b/>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1,790,738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(36,772,655</w:t>
            </w:r>
          </w:p>
        </w:tc>
        <w:tc>
          <w:tcPr>
            <w:tcW w:w="104" w:type="dxa"/>
            <w:tcBorders/>
            <w:shd w:fill="FFFFFF" w:val="clear"/>
            <w:vAlign w:val="center"/>
          </w:tcPr>
          <w:p>
            <w:pPr>
              <w:pStyle w:val="TableContents"/>
              <w:bidi w:val="0"/>
              <w:spacing w:before="0" w:after="283"/>
              <w:ind w:left="0" w:right="0" w:hanging="180"/>
              <w:jc w:val="left"/>
              <w:rPr>
                <w:b/>
              </w:rPr>
            </w:pPr>
            <w:r>
              <w:rPr>
                <w:b/>
              </w:rPr>
              <w:t>)</w:t>
            </w:r>
          </w:p>
        </w:tc>
      </w:tr>
      <w:tr>
        <w:trPr/>
        <w:tc>
          <w:tcPr>
            <w:tcW w:w="7284"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(14,469</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7284"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(2,048</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Proceeds from sale of short-term investments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134,192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Proceeds from sale of Derivative asset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2,009,193</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70,538</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(187,247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(266,482</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7284" w:type="dxa"/>
            <w:tcBorders/>
            <w:shd w:fill="FFFFFF" w:val="clear"/>
            <w:vAlign w:val="center"/>
          </w:tcPr>
          <w:p>
            <w:pPr>
              <w:pStyle w:val="TableContents"/>
              <w:bidi w:val="0"/>
              <w:spacing w:before="0" w:after="283"/>
              <w:jc w:val="left"/>
              <w:rPr/>
            </w:pPr>
            <w:r>
              <w:rPr/>
              <w:t>Payment for business acquisition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(50,000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Proceeds from disposal of subsidiaries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50,000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Collections of loans from third parties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800,000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Payments made for loans to third parties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(8,839,355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(8,092,410</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1,796,732</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Proceeds from issuance of ordinary shares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5,174,400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Repayment of short-term bank loans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(74,385</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7284" w:type="dxa"/>
            <w:tcBorders/>
            <w:shd w:fill="CCEEFF" w:val="clear"/>
            <w:vAlign w:val="center"/>
          </w:tcPr>
          <w:p>
            <w:pPr>
              <w:pStyle w:val="TableContents"/>
              <w:bidi w:val="0"/>
              <w:spacing w:before="0" w:after="283"/>
              <w:jc w:val="left"/>
              <w:rPr/>
            </w:pPr>
            <w:r>
              <w:rPr/>
              <w:t>Proceeds from short-term bank loans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689,407</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5,174,400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615,022</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b/>
              </w:rPr>
            </w:pPr>
            <w:r>
              <w:rPr>
                <w:b/>
              </w:rPr>
              <w:t>EFFECT OF EXCHANGE RATE CHANGE ON CASH AND CASH EQUIVALENTS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(581,733</w:t>
            </w:r>
          </w:p>
        </w:tc>
        <w:tc>
          <w:tcPr>
            <w:tcW w:w="104" w:type="dxa"/>
            <w:tcBorders/>
            <w:shd w:fill="FFFFFF" w:val="clear"/>
            <w:vAlign w:val="center"/>
          </w:tcPr>
          <w:p>
            <w:pPr>
              <w:pStyle w:val="TableContents"/>
              <w:bidi w:val="0"/>
              <w:spacing w:before="0" w:after="283"/>
              <w:ind w:left="0" w:right="0" w:hanging="180"/>
              <w:jc w:val="left"/>
              <w:rPr>
                <w:b/>
              </w:rPr>
            </w:pPr>
            <w:r>
              <w:rPr>
                <w:b/>
              </w:rPr>
              <w:t>)</w:t>
            </w:r>
          </w:p>
        </w:tc>
      </w:tr>
      <w:tr>
        <w:trPr/>
        <w:tc>
          <w:tcPr>
            <w:tcW w:w="7284" w:type="dxa"/>
            <w:tcBorders/>
            <w:shd w:fill="CCEEFF" w:val="clear"/>
            <w:vAlign w:val="center"/>
          </w:tcPr>
          <w:p>
            <w:pPr>
              <w:pStyle w:val="TableContents"/>
              <w:bidi w:val="0"/>
              <w:spacing w:before="0" w:after="283"/>
              <w:jc w:val="left"/>
              <w:rPr>
                <w:b/>
              </w:rPr>
            </w:pPr>
            <w:r>
              <w:rPr>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(1,127,272</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(34,942,634</w:t>
            </w:r>
          </w:p>
        </w:tc>
        <w:tc>
          <w:tcPr>
            <w:tcW w:w="104" w:type="dxa"/>
            <w:tcBorders/>
            <w:shd w:fill="CCEEFF" w:val="clear"/>
            <w:vAlign w:val="center"/>
          </w:tcPr>
          <w:p>
            <w:pPr>
              <w:pStyle w:val="TableContents"/>
              <w:bidi w:val="0"/>
              <w:spacing w:before="0" w:after="283"/>
              <w:ind w:left="0" w:right="0" w:hanging="180"/>
              <w:jc w:val="left"/>
              <w:rPr>
                <w:b/>
              </w:rPr>
            </w:pPr>
            <w:r>
              <w:rPr>
                <w:b/>
              </w:rPr>
              <w:t>)</w:t>
            </w:r>
          </w:p>
        </w:tc>
      </w:tr>
      <w:tr>
        <w:trPr/>
        <w:tc>
          <w:tcPr>
            <w:tcW w:w="7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b/>
              </w:rPr>
            </w:pPr>
            <w:r>
              <w:rPr>
                <w:b/>
              </w:rPr>
              <w:t>CASH AND CASH EQUIVALENTS BEGINNING</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1,410,674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45,021,759</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b/>
              </w:rPr>
            </w:pPr>
            <w:r>
              <w:rPr>
                <w:b/>
              </w:rPr>
              <w:t>CASH AND CASH EQUIVALENTS -ENDING</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283,402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10,079,125</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b/>
              </w:rPr>
            </w:pPr>
            <w:r>
              <w:rPr>
                <w:b/>
              </w:rPr>
              <w:t>SUPPLEMENTAL CASH FLOW DISCLOSURES: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10" w:space="0" w:color="000000"/>
            </w:tcBorders>
            <w:shd w:fill="FFFFFF" w:val="clear"/>
            <w:tcMar>
              <w:bottom w:w="28" w:type="dxa"/>
            </w:tcMar>
            <w:vAlign w:val="center"/>
          </w:tcPr>
          <w:p>
            <w:pPr>
              <w:pStyle w:val="TableContents"/>
              <w:bidi w:val="0"/>
              <w:spacing w:before="0" w:after="283"/>
              <w:jc w:val="right"/>
              <w:rPr/>
            </w:pPr>
            <w:r>
              <w:rPr/>
              <w:t>1,591,459</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10" w:space="0" w:color="000000"/>
            </w:tcBorders>
            <w:shd w:fill="CCEEFF" w:val="clear"/>
            <w:tcMar>
              <w:bottom w:w="28" w:type="dxa"/>
            </w:tcMar>
            <w:vAlign w:val="center"/>
          </w:tcPr>
          <w:p>
            <w:pPr>
              <w:pStyle w:val="TableContents"/>
              <w:bidi w:val="0"/>
              <w:spacing w:before="0" w:after="283"/>
              <w:jc w:val="right"/>
              <w:rPr/>
            </w:pPr>
            <w:r>
              <w:rPr/>
              <w:t>74,385</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b/>
              </w:rPr>
            </w:pPr>
            <w:r>
              <w:rPr>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7284" w:type="dxa"/>
            <w:tcBorders/>
            <w:shd w:fill="FFFFFF" w:val="clear"/>
            <w:vAlign w:val="center"/>
          </w:tcPr>
          <w:p>
            <w:pPr>
              <w:pStyle w:val="TableContents"/>
              <w:bidi w:val="0"/>
              <w:spacing w:before="0" w:after="283"/>
              <w:jc w:val="left"/>
              <w:rPr/>
            </w:pPr>
            <w:r>
              <w:rPr/>
              <w:t>Subscription receivable from ordinary shares issuance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0" w:type="dxa"/>
            <w:tcBorders/>
            <w:shd w:fill="FFFFFF" w:val="clear"/>
            <w:vAlign w:val="center"/>
          </w:tcPr>
          <w:p>
            <w:pPr>
              <w:pStyle w:val="TableContents"/>
              <w:bidi w:val="0"/>
              <w:spacing w:before="0" w:after="283"/>
              <w:jc w:val="right"/>
              <w:rPr/>
            </w:pPr>
            <w:r>
              <w:rPr/>
              <w:t>18,825,600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7284" w:type="dxa"/>
            <w:tcBorders/>
            <w:shd w:fill="CCEEFF" w:val="clear"/>
            <w:vAlign w:val="center"/>
          </w:tcPr>
          <w:p>
            <w:pPr>
              <w:pStyle w:val="TableContents"/>
              <w:bidi w:val="0"/>
              <w:spacing w:before="0" w:after="283"/>
              <w:jc w:val="left"/>
              <w:rPr/>
            </w:pPr>
            <w:r>
              <w:rPr/>
              <w:t>Issuance of shares for share-based compensation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190,472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10" w:space="0" w:color="000000"/>
            </w:tcBorders>
            <w:shd w:fill="CCEEFF" w:val="clear"/>
            <w:tcMar>
              <w:bottom w:w="28" w:type="dxa"/>
            </w:tcMar>
            <w:vAlign w:val="center"/>
          </w:tcPr>
          <w:p>
            <w:pPr>
              <w:pStyle w:val="TableContents"/>
              <w:bidi w:val="0"/>
              <w:spacing w:before="0" w:after="283"/>
              <w:jc w:val="right"/>
              <w:rPr/>
            </w:pPr>
            <w:r>
              <w:rPr/>
              <w:t>260,000</w:t>
            </w:r>
          </w:p>
        </w:tc>
        <w:tc>
          <w:tcPr>
            <w:tcW w:w="10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1"/>
        <w:jc w:val="center"/>
        <w:rPr>
          <w:caps w:val="false"/>
          <w:smallCaps w:val="false"/>
        </w:rPr>
      </w:pPr>
      <w:r>
        <w:rPr>
          <w:caps w:val="false"/>
          <w:smallCaps w:val="false"/>
        </w:rPr>
        <w:t> </w:t>
      </w:r>
    </w:p>
    <w:p>
      <w:pPr>
        <w:pStyle w:val="TextBody"/>
        <w:bidi w:val="0"/>
        <w:spacing w:before="0" w:after="0"/>
        <w:ind w:left="0" w:right="0" w:firstLine="36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fin_005"/>
      <w:bookmarkEnd w:id="10"/>
      <w:r>
        <w:rPr>
          <w:rFonts w:ascii="Times New Roman;Times;Serif" w:hAnsi="Times New Roman;Times;Serif"/>
          <w:b/>
          <w:i w:val="false"/>
          <w:caps w:val="false"/>
          <w:smallCaps w:val="false"/>
          <w:sz w:val="20"/>
        </w:rPr>
        <w:t>AIOS 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NISUN INTERNATIONAL ENTERPRISE DEVELOPMENT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description of business</w:t>
      </w:r>
    </w:p>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 (“AIOS” or “the Company”), formerly known as Nisun International Enterprise Development Group Co., Ltd, is an investment holding company established under the laws of the British Virgin Islands (“BVI”) on May 29, 2012.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Strategic Transformation and Current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2025 and 2026, the Company undertook a comprehensive strategic transformation to reposition itself as a leading provider of artificial intelligence and technology-driven professional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December 23, 2025, the Company completed the disposal of NiSun International Enterprise Management Group (British Virgin Islands) Co., Ltd. (“NiSun BVI”) and its wholly owned subsidiary to E</w:t>
      </w:r>
      <w:r>
        <w:rPr>
          <w:rFonts w:ascii="Times New Roman;Times;Serif" w:hAnsi="Times New Roman;Times;Serif"/>
          <w:b w:val="false"/>
          <w:i w:val="false"/>
          <w:caps w:val="false"/>
          <w:smallCaps w:val="false"/>
          <w:sz w:val="20"/>
        </w:rPr>
        <w:t>verstone Global Holdings Limited</w:t>
      </w:r>
      <w:r>
        <w:rPr>
          <w:rFonts w:ascii="Times New Roman;Times;Serif" w:hAnsi="Times New Roman;Times;Serif"/>
          <w:b w:val="false"/>
          <w:i w:val="false"/>
          <w:caps w:val="false"/>
          <w:smallCaps w:val="false"/>
          <w:sz w:val="20"/>
          <w:shd w:fill="FFFFFF" w:val="clear"/>
        </w:rPr>
        <w:t>, thereby exiting its legacy SME financing and supply chain operations in mainland China and terminating its previous variable interest entity (“VIE”) structure. In connection with this disposal, the related operations have been classified as discontinued operations in the accompanying consolidated financial statements for all periods presented.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12, 2026, the Company officially changed its Nasdaq trading symbol to “AIOS” and its name from “Nisun International Enterprise Development Group Co., Ltd” to “AIOS Tech Inc.”, to reflect its new strategic direction.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Following the divestiture of its legacy business, the Company currently conducts its information technology services through its Hong Kong-based subsidiary, YD Network Technology Company Limited, while the parent company directly engages in SME financing solutions in overseas markets (outside mainland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subsidiaries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5"/>
        <w:gridCol w:w="60"/>
        <w:gridCol w:w="1666"/>
        <w:gridCol w:w="60"/>
        <w:gridCol w:w="1652"/>
        <w:gridCol w:w="60"/>
        <w:gridCol w:w="448"/>
        <w:gridCol w:w="2521"/>
        <w:gridCol w:w="233"/>
      </w:tblGrid>
      <w:tr>
        <w:trPr/>
        <w:tc>
          <w:tcPr>
            <w:tcW w:w="3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incorporation/</w:t>
              <w:br/>
              <w:t>acquisition</w:t>
            </w:r>
          </w:p>
        </w:tc>
        <w:tc>
          <w:tcPr>
            <w:tcW w:w="60" w:type="dxa"/>
            <w:tcBorders/>
            <w:vAlign w:val="center"/>
          </w:tcPr>
          <w:p>
            <w:pPr>
              <w:pStyle w:val="TableContents"/>
              <w:bidi w:val="0"/>
              <w:spacing w:before="0" w:after="283"/>
              <w:jc w:val="center"/>
              <w:rPr/>
            </w:pPr>
            <w:r>
              <w:rPr/>
              <w:t> </w:t>
            </w:r>
          </w:p>
        </w:tc>
        <w:tc>
          <w:tcPr>
            <w:tcW w:w="165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c>
          <w:tcPr>
            <w:tcW w:w="60" w:type="dxa"/>
            <w:tcBorders/>
            <w:vAlign w:val="center"/>
          </w:tcPr>
          <w:p>
            <w:pPr>
              <w:pStyle w:val="TableContents"/>
              <w:bidi w:val="0"/>
              <w:spacing w:before="0" w:after="283"/>
              <w:jc w:val="center"/>
              <w:rPr/>
            </w:pPr>
            <w:r>
              <w:rPr/>
              <w:t> </w:t>
            </w:r>
          </w:p>
        </w:tc>
        <w:tc>
          <w:tcPr>
            <w:tcW w:w="29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direct or indirect economic interest</w:t>
            </w:r>
          </w:p>
        </w:tc>
        <w:tc>
          <w:tcPr>
            <w:tcW w:w="233" w:type="dxa"/>
            <w:tcBorders/>
            <w:vAlign w:val="center"/>
          </w:tcPr>
          <w:p>
            <w:pPr>
              <w:pStyle w:val="TableContents"/>
              <w:bidi w:val="0"/>
              <w:spacing w:before="0" w:after="283"/>
              <w:jc w:val="center"/>
              <w:rPr/>
            </w:pPr>
            <w:r>
              <w:rPr/>
              <w:t> </w:t>
            </w:r>
          </w:p>
        </w:tc>
      </w:tr>
      <w:tr>
        <w:trPr/>
        <w:tc>
          <w:tcPr>
            <w:tcW w:w="3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6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9"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YD Network Technology Company Limited</w:t>
            </w:r>
          </w:p>
        </w:tc>
        <w:tc>
          <w:tcPr>
            <w:tcW w:w="6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01, 2025</w:t>
            </w:r>
          </w:p>
        </w:tc>
        <w:tc>
          <w:tcPr>
            <w:tcW w:w="60"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Everbright Solutions Limited (“Everbright”)</w:t>
            </w:r>
          </w:p>
        </w:tc>
        <w:tc>
          <w:tcPr>
            <w:tcW w:w="60" w:type="dxa"/>
            <w:tcBorders/>
            <w:shd w:fill="FFFFFF" w:val="clear"/>
            <w:vAlign w:val="center"/>
          </w:tcPr>
          <w:p>
            <w:pPr>
              <w:pStyle w:val="TableContents"/>
              <w:bidi w:val="0"/>
              <w:spacing w:before="0" w:after="283"/>
              <w:jc w:val="left"/>
              <w:rPr/>
            </w:pPr>
            <w:r>
              <w:rPr/>
              <w:t> </w:t>
            </w:r>
          </w:p>
        </w:tc>
        <w:tc>
          <w:tcPr>
            <w:tcW w:w="16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13, 2026</w:t>
            </w:r>
          </w:p>
        </w:tc>
        <w:tc>
          <w:tcPr>
            <w:tcW w:w="60" w:type="dxa"/>
            <w:tcBorders/>
            <w:shd w:fill="FFFFFF" w:val="clear"/>
            <w:vAlign w:val="center"/>
          </w:tcPr>
          <w:p>
            <w:pPr>
              <w:pStyle w:val="TableContents"/>
              <w:bidi w:val="0"/>
              <w:spacing w:before="0" w:after="283"/>
              <w:jc w:val="left"/>
              <w:rPr/>
            </w:pPr>
            <w:r>
              <w:rPr/>
              <w:t> </w:t>
            </w:r>
          </w:p>
        </w:tc>
        <w:tc>
          <w:tcPr>
            <w:tcW w:w="165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5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Aquasource Management Company Limited (“Aquasource”)</w:t>
            </w:r>
          </w:p>
        </w:tc>
        <w:tc>
          <w:tcPr>
            <w:tcW w:w="6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5, 2026</w:t>
            </w:r>
          </w:p>
        </w:tc>
        <w:tc>
          <w:tcPr>
            <w:tcW w:w="60"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Shenzhen Qiyaoxing Management Consulting Co., Ltd. </w:t>
            </w:r>
          </w:p>
        </w:tc>
        <w:tc>
          <w:tcPr>
            <w:tcW w:w="60" w:type="dxa"/>
            <w:tcBorders/>
            <w:shd w:fill="FFFFFF" w:val="clear"/>
            <w:vAlign w:val="center"/>
          </w:tcPr>
          <w:p>
            <w:pPr>
              <w:pStyle w:val="TableContents"/>
              <w:bidi w:val="0"/>
              <w:spacing w:before="0" w:after="283"/>
              <w:jc w:val="left"/>
              <w:rPr/>
            </w:pPr>
            <w:r>
              <w:rPr/>
              <w:t> </w:t>
            </w:r>
          </w:p>
        </w:tc>
        <w:tc>
          <w:tcPr>
            <w:tcW w:w="16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25, 2026</w:t>
            </w:r>
          </w:p>
        </w:tc>
        <w:tc>
          <w:tcPr>
            <w:tcW w:w="60" w:type="dxa"/>
            <w:tcBorders/>
            <w:shd w:fill="FFFFFF" w:val="clear"/>
            <w:vAlign w:val="center"/>
          </w:tcPr>
          <w:p>
            <w:pPr>
              <w:pStyle w:val="TableContents"/>
              <w:bidi w:val="0"/>
              <w:spacing w:before="0" w:after="283"/>
              <w:jc w:val="left"/>
              <w:rPr/>
            </w:pPr>
            <w:r>
              <w:rPr/>
              <w:t> </w:t>
            </w:r>
          </w:p>
        </w:tc>
        <w:tc>
          <w:tcPr>
            <w:tcW w:w="165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5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33" w:type="dxa"/>
            <w:tcBorders/>
            <w:shd w:fill="FFFFFF" w:val="clear"/>
            <w:vAlign w:val="center"/>
          </w:tcPr>
          <w:p>
            <w:pPr>
              <w:pStyle w:val="TableContents"/>
              <w:bidi w:val="0"/>
              <w:spacing w:before="0" w:after="283"/>
              <w:jc w:val="right"/>
              <w:rPr/>
            </w:pPr>
            <w:r>
              <w:rPr/>
              <w:t>%</w:t>
            </w:r>
          </w:p>
        </w:tc>
      </w:tr>
    </w:tbl>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firstLine="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firstLine="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GAAP”).These unaudited condensed consolidated financial statements do not include all of the information and notes required by U.S. GAAP for complete annual financial statements and should be read in conjunction with the audited consolidated financial statements and related notes included in the Company’s Annual Report on Form 20-F for the year ended December 31, 2025. In the opinion of management, all adjustments, consisting of normal recurring adjustments, necessary for a fair statement of the results for the interim periods presented have been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its subsidiaries, and the subsidiaries, VIEs and the subsidiaries of the VIEs before disposal, in which it had a controlling financial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 under a statute or agreement among the shareholders or equity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VIE is an entity in which the Company, or its subsidiaries, through contractual arrangements, has the power to direct the activities that most significantly impact the entity’s economic performance, bears the risks of and enjoys the rewards normally associated with ownership of the entity, and therefore the Company or its subsidiaries are the primary beneficiary of the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and balances among the Company, its subsidiaries, the VIEs and their subsidiaries of the VIEs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Uses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each reporting period. Actual results could differ from those estimates. There were no key assumptions concerning the future, and other key sources of estimation uncertainty at the end of the reporting period, which have a significant risk of causing a material adjustment to the carrying amounts of assets and liabilities within the next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using the purchase method of accounting in accordance with the Financial Accounting Standards Board (“FASB”) Accounting Standards Codification (“ASC”) Topic 805, Business Combinations. The purchase method of accounting requires the consideration transferred to be allocated to the assets, including separately identifiable assets and liabilities the Company acquired, based on their estimated fair values. The consideration transferred into an acquisition is measured as the aggregate of the fair values at the date of exchange of the assets purchased, liabilities assumed, and equity instruments issued any contingent consideration as well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acquisition cost, fair value of the non-controlling interests and acquisition date fair value of any previously held equity interest in the acquiree over (ii) the fair value of the identifiable net assets of the acquiree, is recorded as goodwill. If the cost of the acquisition is less than the fair value of the net assets of the subsidiary acquired, the difference is recognized directly in earnings as a bargain purchase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and allocation of fair values to the identifiable assets acquired, liabilities assumed, and non-controlling interests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related activity’s current business model and industry comparisons. Terminal values are based on the expected life of assets, the forecasted life cycle and forecasted cash flows over that period. The fair value of the identifiable assets acquired, and liabilities assumed at the acquisition date is based on a valuation performed by an independent valuation firm engaged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a reporting entity or a group of components of a reporting entity that are disposed or meet the criteria to be classified as held for sale, such as the management, having the authority to approve the action, commits to a plan to sell the disposal group, should be reported as discontinued operations if the disposal represents a strategic shift that has (or will have) a major effect on an entity’s operations and financial results. Discontinued operations are reported when a component of an entity comprising operations and cash flows that can be clearly distinguished, operationally and for financial reporting purposes, from the rest of the entity is classified as held for disposal or has been disposed of, if the component either (1) represents a strategic shift or (2) have a major impact on an entity’s financial results and operations. Included in the consolidated statements of operations and comprehensive income (loss), the results from discontinued operations are reported separately from the income and expense from continuing operations and prior periods are presented on a comparative basis.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Topic 606 Revenue from Contracts with Customers (“ASC 606”). Under ASC 606, revenue is recognized when control of promised goods or services is transferred to the Company’s customers in an amount of consideration to which an entity expects to be entitled to in exchange for those goods or services. All of the Company’s contracts with customers do not contain cancelable and refund-type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guidance of ASC 606, the Company is required to (a) identify the contract(s) with a customer, (b) identify the performance obligations in the contract, (c) determine the transaction price, (d) allocate the transaction price to the performance obligations in the contract and (e) recognize revenue when (or as) the Company satisfies its performance obligations. In determining the transaction price, the Company includes variable consideration only to the extent that it is probable that a significant reversal in the amount of cumulative revenue recognized will not occur. Revenues are recorded, net of sales related taxes and surcharges.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SMEs financing solutions: the Company earns one-time advisory fees from its services provided to small-and mid-size enterprises. The Company enters into one-time advisory fee agreements with customers, which specify the key terms and conditions of the arrangement. Such agreements generally do not include rights of return, credits or discounts, rebates, price protection or other similar privileges. Revenue is calculated at a fixed charge rate with the amount of the offering and is contingent upon the successful closing of the offering. The Company believes such arrangement represents a performance obligation that is satisfied at a point in time, as the customer obtains control of the benefit of the advisory services upon the closing of the offering, at which point the Company has completed its performance and has an enforceable right to payment. Therefore, the advisory fees are recognized as revenue upon the closing of the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Technology Services:</w:t>
      </w:r>
      <w:r>
        <w:rPr>
          <w:rFonts w:ascii="Times New Roman;Times;Serif" w:hAnsi="Times New Roman;Times;Serif"/>
          <w:b w:val="false"/>
          <w:i w:val="false"/>
          <w:caps w:val="false"/>
          <w:smallCaps w:val="false"/>
          <w:sz w:val="20"/>
        </w:rPr>
        <w:t xml:space="preserve"> the Company charges customers a one-time fee upon delivery and customer acceptance of its sales services of digital transformation information system software suites provided to customers. The Company enters into one-time fee agreements with customers, which specify the key terms and conditions of the arrangement. Such agreements generally do not include rights of return, credits or discounts, rebates, price protection or other similar privileges. The Company recognizes revenue at a point in time, generally upon delivery and customer acceptance, when control of the software suites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evaluated regularly by the Company’s chief operating decision maker in deciding how to allocate resources and in assessing performance. In accordance with ASC 280, Segment Reporting,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CODM has been identified as the chief executive officer (the “CEO”), who reviews consolidated results when making decisions about allocating resources and assessing performance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as of June 20, 2026, it had a single reportable segment. While the Company generates revenue from two business streams—SME financing solution services and information technology services—the CODM does not receive separate financial information at the operating segment level for the purpose of allocating resources and assessing performance. The CODM reviews the Company’s results on a consolidated basis only. Accordingly, the Company has one operating segment, which is also its only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revenue for the six months ended June 30,2026 and 2025 was $120,000 and nil, derived from customers in BVI, and $977,935 and nil, derived from customers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time deposits, as well as highly liquid investments, which have original maturities of three months or less.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include money market funds and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money market funds, primarily invest in short-term U.S. Treasury securities, high-grade bank certificates of deposit, commercial paper, and other liquid money market instruments. The investments are measured at fair value (Level 1)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securities primarily consist of common share. The securities are measured at fair value (Level 1) in the consolidated balance sheets, with fair value changes recognized in earnings within “Interest and 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provisions of FASB ASC Section 820, “Fair Value Measurements and Disclosures” (“ASC 820”). ASC 820 clarifies the definition of fair value, prescribes methods for measuring fair value, and establishes a fair value hierarchy to classify the inputs used in measuring fair value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available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are unobservable inputs which reflect the reporting entity’s own assumptions on what assumptions market participants would use in pricing the asset or liability based on the best 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reported in the balance sheet for cash, accounts receivable and other receivables approximate their fair value due to their nature of short-term maturity. The Company’s short-term investments are carried at fair value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Fair value measurements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financial instruments measured at fair value on a recurring basis are as follows:</w:t>
      </w:r>
    </w:p>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2270"/>
        <w:gridCol w:w="60"/>
        <w:gridCol w:w="166"/>
        <w:gridCol w:w="948"/>
        <w:gridCol w:w="60"/>
        <w:gridCol w:w="60"/>
        <w:gridCol w:w="296"/>
        <w:gridCol w:w="1691"/>
        <w:gridCol w:w="126"/>
        <w:gridCol w:w="126"/>
        <w:gridCol w:w="305"/>
        <w:gridCol w:w="599"/>
        <w:gridCol w:w="126"/>
        <w:gridCol w:w="126"/>
        <w:gridCol w:w="305"/>
        <w:gridCol w:w="599"/>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 xml:space="preserve">Fair value </w:t>
              <w:br/>
              <w:t xml:space="preserve">as of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Fair value measurement at reporting date</w:t>
            </w:r>
          </w:p>
        </w:tc>
        <w:tc>
          <w:tcPr>
            <w:tcW w:w="75"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Short-term investments:</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7" w:type="dxa"/>
            <w:gridSpan w:val="2"/>
            <w:tcBorders/>
            <w:vAlign w:val="center"/>
          </w:tcPr>
          <w:p>
            <w:pPr>
              <w:pStyle w:val="TableContents"/>
              <w:bidi w:val="0"/>
              <w:spacing w:before="0" w:after="283"/>
              <w:jc w:val="righ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single" w:sz="12" w:space="0" w:color="000000"/>
            </w:tcBorders>
            <w:shd w:fill="CCEEFF" w:val="clear"/>
            <w:tcMar>
              <w:bottom w:w="28" w:type="dxa"/>
            </w:tcMar>
            <w:vAlign w:val="center"/>
          </w:tcPr>
          <w:p>
            <w:pPr>
              <w:pStyle w:val="TableContents"/>
              <w:bidi w:val="0"/>
              <w:spacing w:before="0" w:after="283"/>
              <w:jc w:val="right"/>
              <w:rPr/>
            </w:pPr>
            <w:r>
              <w:rPr/>
              <w:t>152</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9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9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pPr>
            <w:r>
              <w:rPr/>
              <w:t>462,748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12" w:space="0" w:color="000000"/>
            </w:tcBorders>
            <w:shd w:fill="FFFFFF" w:val="clear"/>
            <w:tcMar>
              <w:bottom w:w="28" w:type="dxa"/>
            </w:tcMar>
            <w:vAlign w:val="center"/>
          </w:tcPr>
          <w:p>
            <w:pPr>
              <w:pStyle w:val="TableContents"/>
              <w:bidi w:val="0"/>
              <w:spacing w:before="0" w:after="283"/>
              <w:jc w:val="right"/>
              <w:rPr/>
            </w:pPr>
            <w:r>
              <w:rPr/>
              <w:t>462,748</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pPr>
            <w:r>
              <w:rPr/>
              <w:t>462,900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double" w:sz="10" w:space="0" w:color="000000"/>
            </w:tcBorders>
            <w:shd w:fill="CCEEFF" w:val="clear"/>
            <w:tcMar>
              <w:bottom w:w="28" w:type="dxa"/>
            </w:tcMar>
            <w:vAlign w:val="center"/>
          </w:tcPr>
          <w:p>
            <w:pPr>
              <w:pStyle w:val="TableContents"/>
              <w:bidi w:val="0"/>
              <w:spacing w:before="0" w:after="283"/>
              <w:jc w:val="right"/>
              <w:rPr/>
            </w:pPr>
            <w:r>
              <w:rPr/>
              <w:t>462,900</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financial instruments measured at fair value on a recurring basis are as follows:</w:t>
      </w:r>
    </w:p>
    <w:p>
      <w:pPr>
        <w:pStyle w:val="TextBody"/>
        <w:bidi w:val="0"/>
        <w:spacing w:before="0" w:after="0"/>
        <w:ind w:left="0" w:right="0" w:hanging="0"/>
        <w:jc w:val="both"/>
        <w:rPr>
          <w:caps w:val="false"/>
          <w:smallCaps w:val="false"/>
        </w:rPr>
      </w:pPr>
      <w:r>
        <w:rPr>
          <w:caps w:val="false"/>
          <w:smallCaps w:val="false"/>
        </w:rPr>
        <w:t> </w:t>
      </w:r>
    </w:p>
    <w:tbl>
      <w:tblPr>
        <w:tblW w:w="8227" w:type="dxa"/>
        <w:jc w:val="left"/>
        <w:tblInd w:w="0" w:type="dxa"/>
        <w:tblLayout w:type="fixed"/>
        <w:tblCellMar>
          <w:top w:w="0" w:type="dxa"/>
          <w:left w:w="0" w:type="dxa"/>
          <w:bottom w:w="0" w:type="dxa"/>
          <w:right w:w="0" w:type="dxa"/>
        </w:tblCellMar>
      </w:tblPr>
      <w:tblGrid>
        <w:gridCol w:w="2270"/>
        <w:gridCol w:w="60"/>
        <w:gridCol w:w="283"/>
        <w:gridCol w:w="1132"/>
        <w:gridCol w:w="60"/>
        <w:gridCol w:w="60"/>
        <w:gridCol w:w="325"/>
        <w:gridCol w:w="1300"/>
        <w:gridCol w:w="139"/>
        <w:gridCol w:w="139"/>
        <w:gridCol w:w="325"/>
        <w:gridCol w:w="638"/>
        <w:gridCol w:w="139"/>
        <w:gridCol w:w="139"/>
        <w:gridCol w:w="325"/>
        <w:gridCol w:w="778"/>
        <w:gridCol w:w="11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Fair value</w:t>
              <w:b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Fair value measurement at reporting date</w:t>
            </w:r>
          </w:p>
        </w:tc>
        <w:tc>
          <w:tcPr>
            <w:tcW w:w="115"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1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Short-term investments: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63"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03"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ind w:left="0" w:right="0" w:firstLine="40"/>
              <w:jc w:val="left"/>
              <w:rPr/>
            </w:pPr>
            <w:r>
              <w:rPr/>
              <w:t> </w:t>
            </w:r>
          </w:p>
        </w:tc>
      </w:tr>
      <w:tr>
        <w:trPr/>
        <w:tc>
          <w:tcPr>
            <w:tcW w:w="227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2,930</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115" w:type="dxa"/>
            <w:tcBorders/>
            <w:shd w:fill="CCEEFF" w:val="clear"/>
            <w:vAlign w:val="center"/>
          </w:tcPr>
          <w:p>
            <w:pPr>
              <w:pStyle w:val="TableContents"/>
              <w:bidi w:val="0"/>
              <w:spacing w:before="0" w:after="283"/>
              <w:ind w:left="0" w:right="0" w:firstLine="40"/>
              <w:jc w:val="left"/>
              <w:rPr/>
            </w:pPr>
            <w:r>
              <w:rPr/>
              <w:t> </w:t>
            </w:r>
          </w:p>
        </w:tc>
      </w:tr>
      <w:tr>
        <w:trPr/>
        <w:tc>
          <w:tcPr>
            <w:tcW w:w="227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2,930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FFFFFF" w:val="clear"/>
            <w:tcMar>
              <w:bottom w:w="28" w:type="dxa"/>
            </w:tcMar>
            <w:vAlign w:val="center"/>
          </w:tcPr>
          <w:p>
            <w:pPr>
              <w:pStyle w:val="TableContents"/>
              <w:bidi w:val="0"/>
              <w:spacing w:before="0" w:after="283"/>
              <w:jc w:val="right"/>
              <w:rPr/>
            </w:pPr>
            <w:r>
              <w:rPr/>
              <w:t>2,930</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7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2022, the Company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Company’s estimation of allowance for credit losses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 The Company assesses collectability by pooling receivables that have similar risk characteristics and evaluates receivables individually when specific receivables no longer share those risk characteristics. For receivables evaluated individually, when it is determined that foreclosure is probable or when the debtor is experiencing financial difficulty at the reporting date and repayment is expected to be provided substantially through the operation or sale of collateral, expected credit losses are based on the fair value of the collateral at the reporting date. No allowance for credit losses was recognized as of June 30, 2026 and December 31, 2025. The Company regularly reviews the creditworthiness of its customers to determine whether a credit loss has occurred on their carrying amounts. The Company writes off accounts receivables against the allowance when a balance is determined to be uncollectible.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in accordance with ASC Topic 718, Compensation-Stock Compensation: Overall,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718, the Company determines whether an award should be classified and accounted for as a liability award or equity award. All grants of share-based awards to employees classified as equity awards are measured based on their grant date fair values and recognized as compensation expense over the requisite service period and/or performance period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share-based compensation based on the fair value of equity awards on the date of the grant, with compensation expense recognized using a straight-line vesting method over the requisite service periods of the awards, which is generally the vesting period. The expected life assumption is primarily based on historical exercise patterns and employee post-vesting termination rates. The risk-free interest rate for the expected term of an option is based on the U.S. Treasury yield curve in effect at the time of grant. The expected dividend yield is based on the Company’s current and expected 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are recorded at costless accumulated amortization. Amortization is provided in amounts sufficient to recognize the cost of the related assets over their useful lives using the straight-line method, as follows:</w:t>
      </w:r>
    </w:p>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220"/>
        <w:gridCol w:w="60"/>
        <w:gridCol w:w="875"/>
      </w:tblGrid>
      <w:tr>
        <w:trPr/>
        <w:tc>
          <w:tcPr>
            <w:tcW w:w="1220" w:type="dxa"/>
            <w:tcBorders/>
            <w:vAlign w:val="center"/>
          </w:tcPr>
          <w:p>
            <w:pPr>
              <w:pStyle w:val="TableContents"/>
              <w:bidi w:val="0"/>
              <w:spacing w:before="0" w:after="283"/>
              <w:ind w:left="0" w:right="0" w:firstLine="40"/>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base</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amortizable intangible assets are reassessed if circumstances occur that indicate the original estimated useful lives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income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if any. Deferred income tax assets and liabilities are measured using enacted tax rates expected to apply to taxable income in the periods in which those temporary differences are expected to be recovered or settled. The effect on deferred income tax assets and liabilities of a change in tax rates or tax laws is recognized in the consolidated statements of comprehensive income in the period the change in tax rates or tax laws is enacted.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reduces the carrying amounts of deferred tax assets by a valuation allowance, if based on the available evidence, it is “more-likely-than-not” that such assets will not be realized. Accordingly, the need to establish valuation allowances for deferred tax assets is assessed at each reporting period based on a “more-likely-than-not” realization threshold. This assessment considers, among other matters, the nature, frequency and severity of current and cumulative losses, forecasts of future profitability, the duration of statutory carryforward periods, and the Company’s experience with operating loss and tax credit carryforwards, if any, not expiring.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 its financial statements the impact of a tax position if that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Changes in recognition or measurement are reflected in the period in which the change in judgment occurs. Interest and penalties recognized related to unrecognized tax benefits are classified as income tax expense in the consolidated statements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former subsidiaries operates primarily in the PRC, the Company’s former subsidiaries’ functional currency is the Chinese Yuan (“RMB”). The functional currency of the Company and its subsidiaries incorporated outside the People’s Republic of China, including those in Hong Kong, is the United States dollar (“US$”). The Company’s financial statements have been translated into the reporting currency of the United States Dollar. Assets and liabilities of the Company are translated at the exchange rate at each reporting period end date. Equity is translated at the historical exchange rates when the transaction occurred. Income and expense accounts are translated at the average rate of exchange during the reporting period. The resulting translation adjustments are reported in other comprehensive income (loss). Gains and losses resulting from other foreign currency transactions are reflected in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RMB is not freely convertible into foreign currency and all foreign exchange transactions must take place through authorized institutions. No representation is made that the RMB amounts could have been, or could be, converted into USDs at the rates used in translation. The following table outlines the currency exchange rates that were used in creating the consolidated financial statements in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1"/>
        <w:gridCol w:w="1826"/>
        <w:gridCol w:w="60"/>
        <w:gridCol w:w="1895"/>
        <w:gridCol w:w="60"/>
        <w:gridCol w:w="1913"/>
      </w:tblGrid>
      <w:tr>
        <w:trPr/>
        <w:tc>
          <w:tcPr>
            <w:tcW w:w="4451" w:type="dxa"/>
            <w:tcBorders/>
            <w:vAlign w:val="center"/>
          </w:tcPr>
          <w:p>
            <w:pPr>
              <w:pStyle w:val="TableContents"/>
              <w:bidi w:val="0"/>
              <w:spacing w:before="0" w:after="283"/>
              <w:jc w:val="center"/>
              <w:rPr/>
            </w:pPr>
            <w:r>
              <w:rPr/>
              <w:t> </w:t>
            </w:r>
          </w:p>
        </w:tc>
        <w:tc>
          <w:tcPr>
            <w:tcW w:w="1826" w:type="dxa"/>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center"/>
              <w:rPr/>
            </w:pPr>
            <w:r>
              <w:rPr/>
              <w:t> </w:t>
            </w:r>
          </w:p>
        </w:tc>
        <w:tc>
          <w:tcPr>
            <w:tcW w:w="1913" w:type="dxa"/>
            <w:tcBorders/>
            <w:vAlign w:val="center"/>
          </w:tcPr>
          <w:p>
            <w:pPr>
              <w:pStyle w:val="TableContents"/>
              <w:bidi w:val="0"/>
              <w:spacing w:before="0" w:after="283"/>
              <w:jc w:val="center"/>
              <w:rPr>
                <w:b/>
              </w:rPr>
            </w:pPr>
            <w:r>
              <w:rPr>
                <w:b/>
              </w:rPr>
              <w:t>December 23,</w:t>
            </w:r>
          </w:p>
        </w:tc>
      </w:tr>
      <w:tr>
        <w:trPr/>
        <w:tc>
          <w:tcPr>
            <w:tcW w:w="4451" w:type="dxa"/>
            <w:tcBorders/>
            <w:vAlign w:val="center"/>
          </w:tcPr>
          <w:p>
            <w:pPr>
              <w:pStyle w:val="TableContents"/>
              <w:bidi w:val="0"/>
              <w:spacing w:before="0" w:after="283"/>
              <w:jc w:val="center"/>
              <w:rPr/>
            </w:pPr>
            <w:r>
              <w:rPr/>
              <w:t> </w:t>
            </w:r>
          </w:p>
        </w:tc>
        <w:tc>
          <w:tcPr>
            <w:tcW w:w="1826" w:type="dxa"/>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1895" w:type="dxa"/>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1913" w:type="dxa"/>
            <w:tcBorders>
              <w:bottom w:val="single" w:sz="12" w:space="0" w:color="000000"/>
            </w:tcBorders>
            <w:tcMar>
              <w:bottom w:w="28" w:type="dxa"/>
            </w:tcMar>
            <w:vAlign w:val="center"/>
          </w:tcPr>
          <w:p>
            <w:pPr>
              <w:pStyle w:val="TableContents"/>
              <w:bidi w:val="0"/>
              <w:spacing w:before="0" w:after="283"/>
              <w:jc w:val="center"/>
              <w:rPr>
                <w:b/>
              </w:rPr>
            </w:pPr>
            <w:r>
              <w:rPr>
                <w:b/>
              </w:rPr>
              <w:t>2025</w:t>
            </w:r>
          </w:p>
        </w:tc>
      </w:tr>
      <w:tr>
        <w:trPr/>
        <w:tc>
          <w:tcPr>
            <w:tcW w:w="4451"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left"/>
              <w:rPr/>
            </w:pPr>
            <w:r>
              <w:rPr/>
              <w:t> </w:t>
            </w:r>
          </w:p>
        </w:tc>
      </w:tr>
      <w:tr>
        <w:trPr/>
        <w:tc>
          <w:tcPr>
            <w:tcW w:w="4451" w:type="dxa"/>
            <w:tcBorders/>
            <w:shd w:fill="CCEEFF" w:val="clear"/>
            <w:vAlign w:val="center"/>
          </w:tcPr>
          <w:p>
            <w:pPr>
              <w:pStyle w:val="TableContents"/>
              <w:bidi w:val="0"/>
              <w:spacing w:before="0" w:after="283"/>
              <w:jc w:val="left"/>
              <w:rPr/>
            </w:pPr>
            <w:r>
              <w:rPr/>
              <w:t>Balance sheet items, except for equity accounts</w:t>
            </w:r>
          </w:p>
        </w:tc>
        <w:tc>
          <w:tcPr>
            <w:tcW w:w="1826" w:type="dxa"/>
            <w:tcBorders/>
            <w:shd w:fill="CCEEFF" w:val="clear"/>
            <w:vAlign w:val="center"/>
          </w:tcPr>
          <w:p>
            <w:pPr>
              <w:pStyle w:val="TableContents"/>
              <w:bidi w:val="0"/>
              <w:spacing w:before="0" w:after="283"/>
              <w:jc w:val="center"/>
              <w:rPr/>
            </w:pPr>
            <w:r>
              <w:rPr/>
              <w:t>US$1=RMB6.7851</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US$1=RMB 6.9931</w:t>
            </w:r>
          </w:p>
        </w:tc>
        <w:tc>
          <w:tcPr>
            <w:tcW w:w="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center"/>
              <w:rPr/>
            </w:pPr>
            <w:r>
              <w:rPr/>
              <w:t>US$1=RMB 7.0280</w:t>
            </w:r>
          </w:p>
        </w:tc>
      </w:tr>
      <w:tr>
        <w:trPr/>
        <w:tc>
          <w:tcPr>
            <w:tcW w:w="4451" w:type="dxa"/>
            <w:tcBorders/>
            <w:shd w:fill="FFFFFF" w:val="clear"/>
            <w:vAlign w:val="center"/>
          </w:tcPr>
          <w:p>
            <w:pPr>
              <w:pStyle w:val="TableContents"/>
              <w:bidi w:val="0"/>
              <w:spacing w:before="0" w:after="283"/>
              <w:jc w:val="left"/>
              <w:rPr/>
            </w:pPr>
            <w:r>
              <w:rPr/>
              <w:t>Items in the statements of operations and cash flows</w:t>
            </w:r>
          </w:p>
        </w:tc>
        <w:tc>
          <w:tcPr>
            <w:tcW w:w="1826" w:type="dxa"/>
            <w:tcBorders/>
            <w:shd w:fill="FFFFFF" w:val="clear"/>
            <w:vAlign w:val="center"/>
          </w:tcPr>
          <w:p>
            <w:pPr>
              <w:pStyle w:val="TableContents"/>
              <w:bidi w:val="0"/>
              <w:spacing w:before="0" w:after="283"/>
              <w:jc w:val="center"/>
              <w:rPr/>
            </w:pPr>
            <w:r>
              <w:rPr/>
              <w:t>US$1=RMB6.8624</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US$1=RMB 7.1875</w:t>
            </w:r>
          </w:p>
        </w:tc>
        <w:tc>
          <w:tcPr>
            <w:tcW w:w="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center"/>
              <w:rPr/>
            </w:pPr>
            <w:r>
              <w:rPr/>
              <w:t>US$1=RMB 7.1913</w:t>
            </w:r>
          </w:p>
        </w:tc>
      </w:tr>
      <w:tr>
        <w:trPr/>
        <w:tc>
          <w:tcPr>
            <w:tcW w:w="4451" w:type="dxa"/>
            <w:tcBorders/>
            <w:shd w:fill="CCEEFF" w:val="clear"/>
            <w:vAlign w:val="center"/>
          </w:tcPr>
          <w:p>
            <w:pPr>
              <w:pStyle w:val="TableContents"/>
              <w:bidi w:val="0"/>
              <w:spacing w:before="0" w:after="283"/>
              <w:jc w:val="left"/>
              <w:rPr/>
            </w:pPr>
            <w:r>
              <w:rPr/>
              <w:t>Balance sheet items, except for equity accounts</w:t>
            </w:r>
          </w:p>
        </w:tc>
        <w:tc>
          <w:tcPr>
            <w:tcW w:w="1826" w:type="dxa"/>
            <w:tcBorders/>
            <w:shd w:fill="CCEEFF" w:val="clear"/>
            <w:vAlign w:val="center"/>
          </w:tcPr>
          <w:p>
            <w:pPr>
              <w:pStyle w:val="TableContents"/>
              <w:bidi w:val="0"/>
              <w:spacing w:before="0" w:after="283"/>
              <w:jc w:val="center"/>
              <w:rPr/>
            </w:pPr>
            <w:r>
              <w:rPr/>
              <w:t>US$1=HKD7.842</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US$1=HKD 7.7833</w:t>
            </w:r>
          </w:p>
        </w:tc>
        <w:tc>
          <w:tcPr>
            <w:tcW w:w="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center"/>
              <w:rPr/>
            </w:pPr>
            <w:r>
              <w:rPr/>
              <w:t>US$1=HKD 7.7780</w:t>
            </w:r>
          </w:p>
        </w:tc>
      </w:tr>
      <w:tr>
        <w:trPr/>
        <w:tc>
          <w:tcPr>
            <w:tcW w:w="4451" w:type="dxa"/>
            <w:tcBorders/>
            <w:shd w:fill="FFFFFF" w:val="clear"/>
            <w:vAlign w:val="center"/>
          </w:tcPr>
          <w:p>
            <w:pPr>
              <w:pStyle w:val="TableContents"/>
              <w:bidi w:val="0"/>
              <w:spacing w:before="0" w:after="283"/>
              <w:jc w:val="left"/>
              <w:rPr/>
            </w:pPr>
            <w:r>
              <w:rPr/>
              <w:t>Items in the statements of operations and cash flows</w:t>
            </w:r>
          </w:p>
        </w:tc>
        <w:tc>
          <w:tcPr>
            <w:tcW w:w="1826" w:type="dxa"/>
            <w:tcBorders/>
            <w:shd w:fill="FFFFFF" w:val="clear"/>
            <w:vAlign w:val="center"/>
          </w:tcPr>
          <w:p>
            <w:pPr>
              <w:pStyle w:val="TableContents"/>
              <w:bidi w:val="0"/>
              <w:spacing w:before="0" w:after="283"/>
              <w:jc w:val="center"/>
              <w:rPr/>
            </w:pPr>
            <w:r>
              <w:rPr/>
              <w:t>US$1=HKD7.824</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US$1=HKD 7.7956</w:t>
            </w:r>
          </w:p>
        </w:tc>
        <w:tc>
          <w:tcPr>
            <w:tcW w:w="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center"/>
              <w:rPr/>
            </w:pPr>
            <w:r>
              <w:rPr/>
              <w:t>US$1=HKD 7.7959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Company Laws of the PRC, the former subsidiaries registered as PRC domestic companies must make appropriations from its after-tax profit as determined under the PRC GAAP to non-distributable reserve funds including a statutory surplus fund and a discretionary surplus fund. The appropriation to the statutory surplus fund must be at least 10% of the after-tax profits as determined in accordance with the legal requirements in the PRC. Appropriation is not required if the surplus fund has reached 50% of the registered capital of the respective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statutory reserves are restricted to the off setting of losses or increasing capital of the respective company. All these reserves are not allowed to be transferred to their investors in terms of cash dividends, loans or advances, nor can they be distributed except under liquidation. No appropriations to the enterprise expansion fund or staff welfare and bonus funds have been made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Comprehensive income (loss) consists of two components, net income (loss) and other comprehensive income (loss). Other comprehensive income (loss) refers to revenue, expenses, gains and losses that under U.S. GAAP are recorded as an element of shareholders’ equity but are excluded from net income (loss). For six months ended June 30, 2025, the Company had another comprehensive income of $4.0 million. The Company had no other comprehensive income (loss) for the six months ended June 30, 2026. Accordingly, comprehensive income (loss) equaled net income (loss) for the six months ended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full-time employees of the Company’s former PRC subsidiaries were entitled to staff welfare benefits including medical care, housing fund, pension benefits and unemployment insurance, which are governmental mandated defined contribution plans. These entities were required to accrue for these benefits based on certain percentages of the employees’ respective salaries, subject to certain ceilings, in accordance with the relevant PRC regulations, and make cash contributions to the state-sponsored plans out of the amounts accrued.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accounts receivable and other receivables. The Company places cash with financial institutions with high credit ratings and quality. Please refer to Note 9 for the disclosure related to concentration of major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earnings (loss) per share (“EPS”) in accordance with FASB ASC 260, “Earnings per Share” (“ASC 260”). Basic EPS is measured as net income (loss) divided by the weighted average common shares outstanding for the period. For the calculation of diluted net income per share, the weighted average number of ordinary shares is adjusted by the effect of dilutive potential ordinary shares, including unvested RSUs and ordinary shares issuable upon the exercise of outstanding share options using the treasury stock method. As of June 30, 2026, warrants to purchase 6,000,000 Class A shares (adjusted for the reverse stock split on April 27, 2026) outstanding and were exercisable from July 6, 2026 to July 6,2031. Such warrants will be excluded from diluted EPS in any future periods where their effect would be anti-dilutive. For the six months ended June 30, 2026 and 2025, there were no dilutive outstanding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treasury shares using the cost method. Under this method, the cost incurred to purchase the shares is recorded in the treasury shares account in shareholders’ equity. At retirement of the treasury shares, the ordinary shares account is charged only for the aggregate par value of the shares. The excess of the acquisition cost of treasury shares over the par value reduces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which clarifies the effective date of Update 2024-03, Income Statement—Reporting Comprehensive Income—Expense Disaggregation Disclosures (Subtopic 220-40). The Board issued Update 2024-03 on November 4, 2024. Update 2024-03 states that the amendments are effective for public business entities for annual reporting periods beginning after December 15, 2026, and interim reporting periods beginning after December 15, 2027. The Company is currently evaluating the impact of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 Financial Instruments—Credit Losses (Topic 326).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evaluating the impact of the adoption of this guidance. The Company is currently evaluating the impact of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2025-07, Derivatives and Hedging (“Topic 815”) and Revenue from Contracts with Customers (“Topic 606”): Derivatives Scope Refinements and Scope Clarification for Share-Based Noncash Consideration from a Customer in a Revenue Contract (“ASU 2025-07”). ASU 2025-07, expands an existing scope exception under Topic 815 to exclude non-exchange-traded contracts where the underlying is based on the operations or activities specific to one of the contract parties. The Company is currently evaluating the impact of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FASB issued ASU 2025-08, Financial Instruments — Credit Losses (“Topic 326”): Purchased Loans (“ASU 2025-08”).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Early adoption is permitted. The Company is currently evaluating the impact of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clarifies the scope and disclosure requirements for interim financial reporting under ASC 270. The amendments introduce a principle requiring disclosure of events and transactions occurring after the end of the most recent annual reporting period that have a material impact on the entity and consolidate certain interim disclosure requirements. The amendments are effective for interim reporting periods within annual reporting periods beginning after December 15, 2027. Early adoption is permitted. The Company is currently evaluating the impact of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Acquisition of YD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 2025, the Company acquired 100% equity interest in YD Network Technology Company Limited (“YD Network”) from a third-party entity, for a cash consideration of US$50,000.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acquisition date of December 1, 2025, the following is a summary of the fair value of the purchase price and the final allocation of the purchase price to the assets acquired and liabilities assumed:</w:t>
      </w:r>
    </w:p>
    <w:p>
      <w:pPr>
        <w:pStyle w:val="TextBody"/>
        <w:bidi w:val="0"/>
        <w:spacing w:before="0" w:after="0"/>
        <w:ind w:left="0" w:right="0" w:hanging="0"/>
        <w:jc w:val="both"/>
        <w:rPr>
          <w:caps w:val="false"/>
          <w:smallCaps w:val="false"/>
        </w:rPr>
      </w:pPr>
      <w:r>
        <w:rPr>
          <w:caps w:val="false"/>
          <w:smallCaps w:val="false"/>
        </w:rPr>
        <w:t> </w:t>
      </w:r>
    </w:p>
    <w:tbl>
      <w:tblPr>
        <w:tblW w:w="5889" w:type="dxa"/>
        <w:jc w:val="left"/>
        <w:tblInd w:w="0" w:type="dxa"/>
        <w:tblLayout w:type="fixed"/>
        <w:tblCellMar>
          <w:top w:w="0" w:type="dxa"/>
          <w:left w:w="0" w:type="dxa"/>
          <w:bottom w:w="0" w:type="dxa"/>
          <w:right w:w="0" w:type="dxa"/>
        </w:tblCellMar>
      </w:tblPr>
      <w:tblGrid>
        <w:gridCol w:w="4325"/>
        <w:gridCol w:w="60"/>
        <w:gridCol w:w="115"/>
        <w:gridCol w:w="1314"/>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on acquisition</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10,447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Short term investments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5,843</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shd w:fill="CCEEFF" w:val="clear"/>
            <w:tcMar>
              <w:bottom w:w="28" w:type="dxa"/>
            </w:tcMar>
            <w:vAlign w:val="center"/>
          </w:tcPr>
          <w:p>
            <w:pPr>
              <w:pStyle w:val="TableContents"/>
              <w:bidi w:val="0"/>
              <w:spacing w:before="0" w:after="283"/>
              <w:jc w:val="right"/>
              <w:rPr/>
            </w:pPr>
            <w:r>
              <w:rPr/>
              <w:t>55,000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shd w:fill="FFFFFF" w:val="clear"/>
            <w:tcMar>
              <w:bottom w:w="28" w:type="dxa"/>
            </w:tcMar>
            <w:vAlign w:val="center"/>
          </w:tcPr>
          <w:p>
            <w:pPr>
              <w:pStyle w:val="TableContents"/>
              <w:bidi w:val="0"/>
              <w:spacing w:before="0" w:after="283"/>
              <w:jc w:val="right"/>
              <w:rPr/>
            </w:pPr>
            <w:r>
              <w:rPr/>
              <w:t>71,290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shd w:fill="CCEEFF" w:val="clear"/>
            <w:tcMar>
              <w:bottom w:w="28" w:type="dxa"/>
            </w:tcMar>
            <w:vAlign w:val="center"/>
          </w:tcPr>
          <w:p>
            <w:pPr>
              <w:pStyle w:val="TableContents"/>
              <w:bidi w:val="0"/>
              <w:spacing w:before="0" w:after="283"/>
              <w:jc w:val="right"/>
              <w:rPr/>
            </w:pPr>
            <w:r>
              <w:rPr/>
              <w:t>17,130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shd w:fill="FFFFFF" w:val="clear"/>
            <w:tcMar>
              <w:bottom w:w="28" w:type="dxa"/>
            </w:tcMar>
            <w:vAlign w:val="center"/>
          </w:tcPr>
          <w:p>
            <w:pPr>
              <w:pStyle w:val="TableContents"/>
              <w:bidi w:val="0"/>
              <w:spacing w:before="0" w:after="283"/>
              <w:jc w:val="right"/>
              <w:rPr/>
            </w:pPr>
            <w:r>
              <w:rPr/>
              <w:t>17,130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identifiable net assets at fair value</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54,160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shd w:fill="FFFFFF" w:val="clear"/>
            <w:tcMar>
              <w:bottom w:w="28" w:type="dxa"/>
            </w:tcMar>
            <w:vAlign w:val="center"/>
          </w:tcPr>
          <w:p>
            <w:pPr>
              <w:pStyle w:val="TableContents"/>
              <w:bidi w:val="0"/>
              <w:spacing w:before="0" w:after="283"/>
              <w:jc w:val="right"/>
              <w:rPr/>
            </w:pPr>
            <w:r>
              <w:rPr/>
              <w:t>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acquisition of subsidiary on cash flows:</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5480"/>
        <w:gridCol w:w="60"/>
        <w:gridCol w:w="60"/>
        <w:gridCol w:w="680"/>
        <w:gridCol w:w="75"/>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Total cash consideration unpaid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Cash and cash equivalents in subsidiary acquired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10,447</w:t>
            </w:r>
          </w:p>
        </w:tc>
        <w:tc>
          <w:tcPr>
            <w:tcW w:w="7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cash inflow on acquisition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ACQUISITIONS AND DISPOSALS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Disposal of Nisun BVI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results of operations of a business would not be recorded as a discontinued operation until the period in which the business is actually disposed of other than by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23, 2025, the Company disposed of 100% equity interest in NiSun International Enterprise Management Group (British Virgin Islands) Co., Ltd. (“NISUN BVI”) to an independent third party for a total consideration of US$50,000. The Company recognized a disposal loss of $225,328,551 in connection with this disposal. The disposal loss represents the excess of the net carrying amount of the subsidiary over the sales consideration, as well as the balance of amounts due from the disposed subsidiary that was determined to be uncollectible as of the disposal date and written off as part of the disposal loss. Accordingly, the Company deconsolidated the Disposed Group with effect from December 23,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sales of the Disposal Group represented a strategic business shift having a major effect on the Group’s operations and financial results. The results of operations for the Disposal Group are presented as discontinued operations on the consolidated statements of operations and comprehensive loss. Amounts for all periods discussed below reflect the results of operations, financial condition and cash flows from the Company’s continuing operations, unless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ACQUISITIONS AND DISPOSALS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disposal date of December 23, 2025, Nisun BVI’s subsidiaries and consolidated VIEs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5"/>
        <w:gridCol w:w="60"/>
        <w:gridCol w:w="1625"/>
        <w:gridCol w:w="60"/>
        <w:gridCol w:w="1545"/>
        <w:gridCol w:w="60"/>
        <w:gridCol w:w="376"/>
        <w:gridCol w:w="2112"/>
        <w:gridCol w:w="202"/>
      </w:tblGrid>
      <w:tr>
        <w:trPr/>
        <w:tc>
          <w:tcPr>
            <w:tcW w:w="416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6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br/>
              <w:t>acquisition</w:t>
            </w:r>
          </w:p>
        </w:tc>
        <w:tc>
          <w:tcPr>
            <w:tcW w:w="60" w:type="dxa"/>
            <w:tcBorders/>
            <w:vAlign w:val="center"/>
          </w:tcPr>
          <w:p>
            <w:pPr>
              <w:pStyle w:val="TableContents"/>
              <w:bidi w:val="0"/>
              <w:spacing w:before="0" w:after="283"/>
              <w:jc w:val="center"/>
              <w:rPr/>
            </w:pPr>
            <w:r>
              <w:rPr/>
              <w:t> </w:t>
            </w:r>
          </w:p>
        </w:tc>
        <w:tc>
          <w:tcPr>
            <w:tcW w:w="15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c>
          <w:tcPr>
            <w:tcW w:w="60" w:type="dxa"/>
            <w:tcBorders/>
            <w:vAlign w:val="center"/>
          </w:tcPr>
          <w:p>
            <w:pPr>
              <w:pStyle w:val="TableContents"/>
              <w:bidi w:val="0"/>
              <w:spacing w:before="0" w:after="283"/>
              <w:jc w:val="center"/>
              <w:rPr/>
            </w:pPr>
            <w:r>
              <w:rPr/>
              <w:t> </w:t>
            </w:r>
          </w:p>
        </w:tc>
        <w:tc>
          <w:tcPr>
            <w:tcW w:w="24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direct or indirect economic interest</w:t>
            </w:r>
          </w:p>
        </w:tc>
        <w:tc>
          <w:tcPr>
            <w:tcW w:w="202" w:type="dxa"/>
            <w:tcBorders/>
            <w:vAlign w:val="center"/>
          </w:tcPr>
          <w:p>
            <w:pPr>
              <w:pStyle w:val="TableContents"/>
              <w:bidi w:val="0"/>
              <w:spacing w:before="0" w:after="283"/>
              <w:ind w:left="0" w:right="0" w:hanging="180"/>
              <w:jc w:val="center"/>
              <w:rPr/>
            </w:pPr>
            <w:r>
              <w:rPr/>
              <w:t> </w:t>
            </w:r>
          </w:p>
        </w:tc>
      </w:tr>
      <w:tr>
        <w:trPr/>
        <w:tc>
          <w:tcPr>
            <w:tcW w:w="4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ind w:left="0" w:right="0" w:hanging="180"/>
              <w:jc w:val="left"/>
              <w:rPr/>
            </w:pPr>
            <w:r>
              <w:rPr/>
              <w:t> </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NiSun International Enterprise Management Group (Hong Kong) Co., Limited (“NiSun HK”)</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12, 2019</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Nisun (Shandong) Industrial Development Co., Ltd (“Nisun Shandong” or “WFOE”)</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15, 2020</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NingChen (Shanghai) Enterprise Management Co., Ltd.(“NingChen”)</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12, 2019</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Taiding International Investment Co., Ltd. (“Taiding”)</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2019</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Naqing Enterprise Management Co., Ltd (“Naqing” or “WFOE”)</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10, 2019</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NiSun Ocean (Qingdao) Supply Chain Investment Co., Ltd.(“Nisun Ocean”)</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30, 2021</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Zhumadian NiSun Supply Chain Management Co., Ltd.(“Nisun ZMD”)</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29, 2021</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Nisun (Beijing) Supply Chain Management Co., Ltd.(“Nisun Beijing”)</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07, 2022</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Qingdao Sailang International Trade Co., Ltd.(“Sailang”)</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2022</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Rizhao Sailang Mining Co., Ltd.(“RZ Sailang”)</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2022</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Gansu Zhonghexi Trading Co., Ltd.(“Gansu Zhonghexi”)</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2022</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Keqiya International Trade Co., Ltd.(“Keqiya”)</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07, 2023</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Fanningke Digital Technology (Shanghai) Co., Ltd.(“Fanningke”)</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 2023</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Fanshengke Supply Chain (Shanghai) Co., Ltd.(“Fanshengke”)</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28, 2023</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Fintech (Henan) Trading Co., Ltd.(“Henan Trading”)</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03, 2023</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Fanshengke Supply Chain (Fujian) Co., Ltd. (“Fanshengke Fujian”)</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19, 2024</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Khorgos Fanning Network Technology Co., Ltd. (“Khorgos Fanning”)</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12, 2024</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Ningzhuan Trading Partnership Enterprise (“Ningzhuan”)</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4, 2024</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Hebei Ruizu Trading Co., Ltd. (“Hebei Ruizu”)</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11, 2024</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ind w:left="0" w:right="0" w:hanging="180"/>
              <w:jc w:val="left"/>
              <w:rPr/>
            </w:pPr>
            <w:r>
              <w:rPr/>
              <w:t> </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VIEs</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ind w:left="0" w:right="0" w:hanging="180"/>
              <w:jc w:val="left"/>
              <w:rPr/>
            </w:pPr>
            <w:r>
              <w:rPr/>
              <w:t> </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Fintech (Shanghai) Digital Technology Co., Ltd. (“Fintech Shanghai”)</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12, 2019</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Hengtai Puhui Information Services Co., Ltd (“Hengpu”)</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2019</w:t>
            </w:r>
          </w:p>
        </w:tc>
        <w:tc>
          <w:tcPr>
            <w:tcW w:w="60"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2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Luyao Financial Consulting Co., Ltd. (“Luyao Shanghai”)</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04, 2015</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2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ACQUISITIONS AND DISPOSALS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1456"/>
        <w:gridCol w:w="60"/>
        <w:gridCol w:w="1573"/>
        <w:gridCol w:w="60"/>
        <w:gridCol w:w="394"/>
        <w:gridCol w:w="2218"/>
        <w:gridCol w:w="202"/>
      </w:tblGrid>
      <w:tr>
        <w:trPr/>
        <w:tc>
          <w:tcPr>
            <w:tcW w:w="418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45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Date of </w:t>
              <w:br/>
              <w:t xml:space="preserve">incorporation/ </w:t>
              <w:br/>
              <w:t>acquisition</w:t>
            </w:r>
          </w:p>
        </w:tc>
        <w:tc>
          <w:tcPr>
            <w:tcW w:w="60" w:type="dxa"/>
            <w:tcBorders/>
            <w:vAlign w:val="center"/>
          </w:tcPr>
          <w:p>
            <w:pPr>
              <w:pStyle w:val="TableContents"/>
              <w:bidi w:val="0"/>
              <w:spacing w:before="0" w:after="283"/>
              <w:jc w:val="center"/>
              <w:rPr/>
            </w:pPr>
            <w:r>
              <w:rPr/>
              <w:t> </w:t>
            </w:r>
          </w:p>
        </w:tc>
        <w:tc>
          <w:tcPr>
            <w:tcW w:w="157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c>
          <w:tcPr>
            <w:tcW w:w="60" w:type="dxa"/>
            <w:tcBorders/>
            <w:vAlign w:val="center"/>
          </w:tcPr>
          <w:p>
            <w:pPr>
              <w:pStyle w:val="TableContents"/>
              <w:bidi w:val="0"/>
              <w:spacing w:before="0" w:after="283"/>
              <w:jc w:val="center"/>
              <w:rPr/>
            </w:pPr>
            <w:r>
              <w:rPr/>
              <w:t> </w:t>
            </w:r>
          </w:p>
        </w:tc>
        <w:tc>
          <w:tcPr>
            <w:tcW w:w="26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direct or indirect economic interest</w:t>
            </w:r>
          </w:p>
        </w:tc>
        <w:tc>
          <w:tcPr>
            <w:tcW w:w="202" w:type="dxa"/>
            <w:tcBorders/>
            <w:vAlign w:val="center"/>
          </w:tcPr>
          <w:p>
            <w:pPr>
              <w:pStyle w:val="TableContents"/>
              <w:bidi w:val="0"/>
              <w:spacing w:before="0" w:after="283"/>
              <w:ind w:left="0" w:right="0" w:hanging="180"/>
              <w:jc w:val="center"/>
              <w:rPr/>
            </w:pPr>
            <w:r>
              <w:rPr/>
              <w:t> </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 of the VIEs</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ind w:left="0" w:right="0" w:hanging="180"/>
              <w:jc w:val="left"/>
              <w:rPr/>
            </w:pPr>
            <w:r>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Khorgos Fintech Network Technology Co., Ltd. (“Khorgos”)</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12, 2019</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Jilin Province Lingang Supply Chain Management Co., Ltd (“Lingang”)</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27, 2019</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Fintech Supply Chain Management (Shenzhen) Co., Ltd.(“Fintech Shenzhen”)</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21,2022</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Liaogang NiSun (Yingkou) Supply Chain Management Co., Ltd.(“Liaogang Yingkou”)</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03, 2018</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20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Fengtai Supply Chain Management Co., Ltd. (“Fengtai”)</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2019</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Nanjing Nisun Gold Co., Ltd. (“Nisun Gold”)</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10, 2020</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Fintech (Shandong) Supply Chain Management Co., Ltd. (“Fintech Shandong”)</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04, 2020</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Fanlunke Supply Chain Management (Shanghai) Co., Ltd. (“Fanlunke Shanghai”)</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29, 2020</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Fintech Supply Chain Management (Ningbo) Co., Ltd. (“Fintech Ningbo”)</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25, 2021</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Henan Fintech Digital Technology Co., Ltd. (“Henan Fintech”)</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27, 2024</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Fanlun Ke Trading (Nanjing) Co., Ltd. (“Fanlunke Nanjing”)</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12, 2024</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Fanlunke Trading (Chengdu) Co., Ltd. (“Fanlunke Chengdu”)</w:t>
            </w:r>
          </w:p>
        </w:tc>
        <w:tc>
          <w:tcPr>
            <w:tcW w:w="60"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17, 2025</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Fanlunke New Retail (Chengdu) Co., Ltd. (“Fanlunke Retail”)</w:t>
            </w:r>
          </w:p>
        </w:tc>
        <w:tc>
          <w:tcPr>
            <w:tcW w:w="60"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2025</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ACQUISITIONS AND DISPOSALS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the Company calculated a loss resulting from such disposal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41"/>
        <w:gridCol w:w="60"/>
        <w:gridCol w:w="61"/>
        <w:gridCol w:w="1331"/>
        <w:gridCol w:w="112"/>
      </w:tblGrid>
      <w:tr>
        <w:trPr/>
        <w:tc>
          <w:tcPr>
            <w:tcW w:w="86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23,</w:t>
              <w:br/>
              <w:t>2025</w:t>
            </w:r>
          </w:p>
        </w:tc>
        <w:tc>
          <w:tcPr>
            <w:tcW w:w="112" w:type="dxa"/>
            <w:tcBorders/>
            <w:vAlign w:val="center"/>
          </w:tcPr>
          <w:p>
            <w:pPr>
              <w:pStyle w:val="TableContents"/>
              <w:bidi w:val="0"/>
              <w:spacing w:before="0" w:after="283"/>
              <w:jc w:val="left"/>
              <w:rPr/>
            </w:pPr>
            <w:r>
              <w:rPr/>
              <w:t> </w:t>
            </w:r>
          </w:p>
        </w:tc>
      </w:tr>
      <w:tr>
        <w:trPr/>
        <w:tc>
          <w:tcPr>
            <w:tcW w:w="8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vAlign w:val="center"/>
          </w:tcPr>
          <w:p>
            <w:pPr>
              <w:pStyle w:val="TableContents"/>
              <w:bidi w:val="0"/>
              <w:spacing w:before="0" w:after="283"/>
              <w:jc w:val="center"/>
              <w:rPr>
                <w:b/>
              </w:rPr>
            </w:pPr>
            <w:r>
              <w:rPr>
                <w:b/>
              </w:rPr>
              <w:t>USD</w:t>
            </w:r>
          </w:p>
        </w:tc>
        <w:tc>
          <w:tcPr>
            <w:tcW w:w="112" w:type="dxa"/>
            <w:tcBorders/>
            <w:vAlign w:val="center"/>
          </w:tcPr>
          <w:p>
            <w:pPr>
              <w:pStyle w:val="TableContents"/>
              <w:bidi w:val="0"/>
              <w:spacing w:before="0" w:after="283"/>
              <w:jc w:val="left"/>
              <w:rPr/>
            </w:pPr>
            <w:r>
              <w:rPr/>
              <w:t> </w:t>
            </w:r>
          </w:p>
        </w:tc>
      </w:tr>
      <w:tr>
        <w:trPr/>
        <w:tc>
          <w:tcPr>
            <w:tcW w:w="8641"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92"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15,986,591</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Short term investments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7,706,050</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35,246,811</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Advance to suppliers, net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179,209,454</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7,905,656</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Receivables from supply chain solutions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26,628,729</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20,432,683</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298,677</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190,475</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Equity investments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458,201</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17,709,008</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419,940</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312,192,275</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Short-term loans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6,189,528</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63,489,162</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22,726,831</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Payables to supply chain solutions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2,116,672</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Liabilities of financial guarantee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22,563</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Advances from customers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17,500,339</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1,376,565</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Due to related parties - current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297,075</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113,718,735</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Total net assets of the Disposal Group</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198,473,540</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Less: Non-controlling interest of the Disposal Group</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4,369,736</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Net assets of the Disposal Group attributable to the Company’s shareholders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194,103,804</w:t>
            </w:r>
          </w:p>
        </w:tc>
        <w:tc>
          <w:tcPr>
            <w:tcW w:w="112" w:type="dxa"/>
            <w:tcBorders/>
            <w:shd w:fill="CCEEFF" w:val="clear"/>
            <w:vAlign w:val="center"/>
          </w:tcPr>
          <w:p>
            <w:pPr>
              <w:pStyle w:val="TableContents"/>
              <w:bidi w:val="0"/>
              <w:spacing w:before="0" w:after="283"/>
              <w:jc w:val="left"/>
              <w:rPr/>
            </w:pPr>
            <w:r>
              <w:rPr/>
              <w:t> </w:t>
            </w:r>
          </w:p>
        </w:tc>
      </w:tr>
      <w:tr>
        <w:trPr/>
        <w:tc>
          <w:tcPr>
            <w:tcW w:w="8641" w:type="dxa"/>
            <w:tcBorders/>
            <w:shd w:fill="FFFFFF" w:val="clear"/>
            <w:vAlign w:val="center"/>
          </w:tcPr>
          <w:p>
            <w:pPr>
              <w:pStyle w:val="TableContents"/>
              <w:bidi w:val="0"/>
              <w:spacing w:before="0" w:after="283"/>
              <w:jc w:val="left"/>
              <w:rPr/>
            </w:pPr>
            <w:r>
              <w:rPr/>
              <w:t>Add:Writes-off of net amounts due from disposed subsidiaries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21,653,052</w:t>
            </w:r>
          </w:p>
        </w:tc>
        <w:tc>
          <w:tcPr>
            <w:tcW w:w="112" w:type="dxa"/>
            <w:tcBorders/>
            <w:shd w:fill="FFFFFF" w:val="clear"/>
            <w:vAlign w:val="center"/>
          </w:tcPr>
          <w:p>
            <w:pPr>
              <w:pStyle w:val="TableContents"/>
              <w:bidi w:val="0"/>
              <w:spacing w:before="0" w:after="283"/>
              <w:jc w:val="left"/>
              <w:rPr/>
            </w:pPr>
            <w:r>
              <w:rPr/>
              <w:t> </w:t>
            </w:r>
          </w:p>
        </w:tc>
      </w:tr>
      <w:tr>
        <w:trPr/>
        <w:tc>
          <w:tcPr>
            <w:tcW w:w="8641" w:type="dxa"/>
            <w:tcBorders/>
            <w:shd w:fill="CCEEFF" w:val="clear"/>
            <w:vAlign w:val="center"/>
          </w:tcPr>
          <w:p>
            <w:pPr>
              <w:pStyle w:val="TableContents"/>
              <w:bidi w:val="0"/>
              <w:spacing w:before="0" w:after="283"/>
              <w:jc w:val="left"/>
              <w:rPr/>
            </w:pPr>
            <w:r>
              <w:rPr/>
              <w:t>Less:disposal proceeds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(50,000</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8641" w:type="dxa"/>
            <w:tcBorders/>
            <w:shd w:fill="FFFFFF" w:val="clear"/>
            <w:vAlign w:val="center"/>
          </w:tcPr>
          <w:p>
            <w:pPr>
              <w:pStyle w:val="TableContents"/>
              <w:bidi w:val="0"/>
              <w:spacing w:before="0" w:after="283"/>
              <w:jc w:val="left"/>
              <w:rPr/>
            </w:pPr>
            <w:r>
              <w:rPr/>
              <w:t>Loss on disposal before reclassification of cumulative foreign currency translation differences of the Disposal Group to profit or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(215,706,856</w:t>
            </w:r>
          </w:p>
        </w:tc>
        <w:tc>
          <w:tcPr>
            <w:tcW w:w="112" w:type="dxa"/>
            <w:tcBorders/>
            <w:shd w:fill="FFFFFF" w:val="clear"/>
            <w:vAlign w:val="center"/>
          </w:tcPr>
          <w:p>
            <w:pPr>
              <w:pStyle w:val="TableContents"/>
              <w:bidi w:val="0"/>
              <w:spacing w:before="0" w:after="283"/>
              <w:jc w:val="left"/>
              <w:rPr/>
            </w:pPr>
            <w:r>
              <w:rPr/>
              <w:t>)</w:t>
            </w:r>
          </w:p>
        </w:tc>
      </w:tr>
      <w:tr>
        <w:trPr/>
        <w:tc>
          <w:tcPr>
            <w:tcW w:w="8641" w:type="dxa"/>
            <w:tcBorders/>
            <w:shd w:fill="CCEEFF" w:val="clear"/>
            <w:vAlign w:val="center"/>
          </w:tcPr>
          <w:p>
            <w:pPr>
              <w:pStyle w:val="TableContents"/>
              <w:bidi w:val="0"/>
              <w:spacing w:before="0" w:after="283"/>
              <w:jc w:val="left"/>
              <w:rPr/>
            </w:pPr>
            <w:r>
              <w:rPr/>
              <w:t>Reclassification of cumulative foreign currency translation losses of the Disposal Group to profit or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(9,621,695</w:t>
            </w:r>
          </w:p>
        </w:tc>
        <w:tc>
          <w:tcPr>
            <w:tcW w:w="112" w:type="dxa"/>
            <w:tcBorders/>
            <w:shd w:fill="CCEEFF" w:val="clear"/>
            <w:vAlign w:val="center"/>
          </w:tcPr>
          <w:p>
            <w:pPr>
              <w:pStyle w:val="TableContents"/>
              <w:bidi w:val="0"/>
              <w:spacing w:before="0" w:after="283"/>
              <w:jc w:val="left"/>
              <w:rPr/>
            </w:pPr>
            <w:r>
              <w:rPr/>
              <w:t>)</w:t>
            </w:r>
          </w:p>
        </w:tc>
      </w:tr>
      <w:tr>
        <w:trPr/>
        <w:tc>
          <w:tcPr>
            <w:tcW w:w="8641" w:type="dxa"/>
            <w:tcBorders/>
            <w:shd w:fill="FFFFFF" w:val="clear"/>
            <w:vAlign w:val="center"/>
          </w:tcPr>
          <w:p>
            <w:pPr>
              <w:pStyle w:val="TableContents"/>
              <w:bidi w:val="0"/>
              <w:spacing w:before="0" w:after="283"/>
              <w:jc w:val="left"/>
              <w:rPr>
                <w:b/>
              </w:rPr>
            </w:pPr>
            <w:r>
              <w:rPr>
                <w:b/>
              </w:rPr>
              <w:t>Loss on disposal recognized in the Consolidated Statements of Operations and Comprehensive (Loss) 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(225,328,551</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ACQUISITIONS AND DISPOSALS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cash flows of Disposal Group were as follows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6139" w:type="dxa"/>
        <w:jc w:val="left"/>
        <w:tblInd w:w="0" w:type="dxa"/>
        <w:tblLayout w:type="fixed"/>
        <w:tblCellMar>
          <w:top w:w="0" w:type="dxa"/>
          <w:left w:w="0" w:type="dxa"/>
          <w:bottom w:w="0" w:type="dxa"/>
          <w:right w:w="0" w:type="dxa"/>
        </w:tblCellMar>
      </w:tblPr>
      <w:tblGrid>
        <w:gridCol w:w="3770"/>
        <w:gridCol w:w="60"/>
        <w:gridCol w:w="198"/>
        <w:gridCol w:w="317"/>
        <w:gridCol w:w="74"/>
        <w:gridCol w:w="74"/>
        <w:gridCol w:w="74"/>
        <w:gridCol w:w="1462"/>
        <w:gridCol w:w="110"/>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USD</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36"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(31,327,402</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both"/>
              <w:rPr/>
            </w:pPr>
            <w:r>
              <w:rPr/>
              <w:t>Net cash provide by investing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1,796,732</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Net cash provide by financing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615,022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major classes of losses from discontinued operations in the consolidated statements of operations and comprehensive loss for the six months ended June 30, 2026 and 2025 is as follows:</w:t>
      </w:r>
    </w:p>
    <w:p>
      <w:pPr>
        <w:pStyle w:val="TextBody"/>
        <w:bidi w:val="0"/>
        <w:spacing w:before="0" w:after="0"/>
        <w:ind w:left="0" w:right="0" w:firstLine="360"/>
        <w:jc w:val="both"/>
        <w:rPr>
          <w:caps w:val="false"/>
          <w:smallCaps w:val="false"/>
        </w:rPr>
      </w:pPr>
      <w:r>
        <w:rPr>
          <w:caps w:val="false"/>
          <w:smallCaps w:val="false"/>
        </w:rPr>
        <w:t> </w:t>
      </w:r>
    </w:p>
    <w:tbl>
      <w:tblPr>
        <w:tblW w:w="8949" w:type="dxa"/>
        <w:jc w:val="left"/>
        <w:tblInd w:w="0" w:type="dxa"/>
        <w:tblLayout w:type="fixed"/>
        <w:tblCellMar>
          <w:top w:w="0" w:type="dxa"/>
          <w:left w:w="0" w:type="dxa"/>
          <w:bottom w:w="0" w:type="dxa"/>
          <w:right w:w="0" w:type="dxa"/>
        </w:tblCellMar>
      </w:tblPr>
      <w:tblGrid>
        <w:gridCol w:w="6890"/>
        <w:gridCol w:w="60"/>
        <w:gridCol w:w="198"/>
        <w:gridCol w:w="317"/>
        <w:gridCol w:w="60"/>
        <w:gridCol w:w="60"/>
        <w:gridCol w:w="60"/>
        <w:gridCol w:w="1194"/>
        <w:gridCol w:w="110"/>
      </w:tblGrid>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Six months ended </w:t>
              <w:br/>
              <w:t xml:space="preserve">June 30, </w:t>
            </w:r>
          </w:p>
        </w:tc>
        <w:tc>
          <w:tcPr>
            <w:tcW w:w="11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91,062,980</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(80,905,016</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10,157,964</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Operating costs: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(943,354</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(4,418,805</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(499,557</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left"/>
              <w:rPr/>
            </w:pPr>
            <w:r>
              <w:rPr/>
              <w:t>Bad debt expense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(55,275,084</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Goodwill Impairment Loss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(17,373,793</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left"/>
              <w:rPr/>
            </w:pPr>
            <w:r>
              <w:rPr/>
              <w:t>Interest and investment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7,736</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Other expenses, net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66,875</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Net gain on sale of discontinued operations, net of applicable income tax</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Loss (income) before income taxes from discontinued operations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(68,278,018</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(1,122,607</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(3,277</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left"/>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1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(69,403,902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short-term investments measured at fair value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5060"/>
        <w:gridCol w:w="60"/>
        <w:gridCol w:w="140"/>
        <w:gridCol w:w="800"/>
        <w:gridCol w:w="60"/>
        <w:gridCol w:w="60"/>
        <w:gridCol w:w="283"/>
        <w:gridCol w:w="1132"/>
        <w:gridCol w:w="75"/>
      </w:tblGrid>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Money market funds, at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2,921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Equity securities, at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190,025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Gain from changes in fair value-Money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Gain from changes in fair value-Equity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272,723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Total 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462,900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2,930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cost of the money market funds and equity securities held by the Company was $152 and $190,025, respectively, with corresponding changes in fair value of nil and $272,723 during the six months then ended. As of December 31, 2025, the fair value of the Taikang Kaitai US Dollar Money Market Fund held by the Company was $2,930, resulting in investment income from changes in fair value of $9.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receivable consists of the following:</w:t>
      </w:r>
    </w:p>
    <w:p>
      <w:pPr>
        <w:pStyle w:val="TextBody"/>
        <w:bidi w:val="0"/>
        <w:spacing w:before="0" w:after="0"/>
        <w:ind w:left="0" w:right="0" w:hanging="0"/>
        <w:jc w:val="both"/>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275"/>
        <w:gridCol w:w="60"/>
        <w:gridCol w:w="140"/>
        <w:gridCol w:w="800"/>
        <w:gridCol w:w="60"/>
        <w:gridCol w:w="60"/>
        <w:gridCol w:w="176"/>
        <w:gridCol w:w="1239"/>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Accounts receivable from 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1,580,000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1,580,000</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1,580,000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accounts receivable of $1,580,000, which was fully collected prior to June 30, 2026. As of June 30, 2026, the Company had accounts receivable of $120,000 arising from services rendered during the six months ended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OTHER RECEIVABLES</w:t>
      </w:r>
    </w:p>
    <w:p>
      <w:pPr>
        <w:pStyle w:val="TextBody"/>
        <w:bidi w:val="0"/>
        <w:spacing w:before="0" w:after="0"/>
        <w:ind w:left="0" w:right="0" w:hanging="0"/>
        <w:jc w:val="both"/>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180"/>
        <w:gridCol w:w="60"/>
        <w:gridCol w:w="140"/>
        <w:gridCol w:w="1100"/>
        <w:gridCol w:w="60"/>
        <w:gridCol w:w="60"/>
        <w:gridCol w:w="184"/>
        <w:gridCol w:w="1291"/>
        <w:gridCol w:w="75"/>
      </w:tblGrid>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w:t>
              <w:br/>
              <w:t>2025</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18,825,600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Loans to third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10,066,059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2,000,000</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Consideration receivable from Disposal of subsidiaries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both"/>
              <w:rPr/>
            </w:pPr>
            <w:r>
              <w:rPr/>
              <w:t>Total 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28,891,659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2,050,000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other receivables comprised subscription receivable of $18,825,600 and loans to third parties of $10,066,059.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subscription receivable represents amounts due from shareholders for shares issued but not fully paid as of June 30, 2026. $6.1 million of the outstanding subscription receivable had been subsequently collected in August 2026. The remaining balance of $12.7 million is expected to be collected by the end of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to third parties include: (i) loans to a third-party enterprise, which increased from $2.0 million at December 31, 2025 to $4.8 million at June 30, 2026, primarily attributable to additional funds advanced to support the borrower’s working capital needs, with a loan term of three years from the date of transfer and the interest rate of 2% per annum; (ii) loans of $5.3 million to another third-party enterprise for its working capital needs with the maturity date on August 18, 2029. All other receivables are unsecured. The Company is entitled to demand repayment of the loans to third parties at any time upon written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5810"/>
        <w:gridCol w:w="60"/>
        <w:gridCol w:w="140"/>
        <w:gridCol w:w="680"/>
        <w:gridCol w:w="95"/>
        <w:gridCol w:w="60"/>
        <w:gridCol w:w="241"/>
        <w:gridCol w:w="1174"/>
        <w:gridCol w:w="110"/>
      </w:tblGrid>
      <w:tr>
        <w:trPr/>
        <w:tc>
          <w:tcPr>
            <w:tcW w:w="5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both"/>
              <w:rPr/>
            </w:pPr>
            <w:r>
              <w:rPr/>
              <w:t>Customer base arise from acquisition of a subsidiary (Note 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55,000</w:t>
            </w:r>
          </w:p>
        </w:tc>
        <w:tc>
          <w:tcPr>
            <w:tcW w:w="110"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both"/>
              <w:rPr/>
            </w:pPr>
            <w:r>
              <w:rPr/>
              <w:t>Total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55,000</w:t>
            </w:r>
          </w:p>
        </w:tc>
        <w:tc>
          <w:tcPr>
            <w:tcW w:w="110"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both"/>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(917</w:t>
            </w:r>
          </w:p>
        </w:tc>
        <w:tc>
          <w:tcPr>
            <w:tcW w:w="110" w:type="dxa"/>
            <w:tcBorders/>
            <w:shd w:fill="CCEEFF" w:val="clear"/>
            <w:vAlign w:val="center"/>
          </w:tcPr>
          <w:p>
            <w:pPr>
              <w:pStyle w:val="TableContents"/>
              <w:bidi w:val="0"/>
              <w:spacing w:before="0" w:after="283"/>
              <w:jc w:val="left"/>
              <w:rPr/>
            </w:pPr>
            <w:r>
              <w:rPr/>
              <w:t>)</w:t>
            </w:r>
          </w:p>
        </w:tc>
      </w:tr>
      <w:tr>
        <w:trPr/>
        <w:tc>
          <w:tcPr>
            <w:tcW w:w="5810" w:type="dxa"/>
            <w:tcBorders/>
            <w:shd w:fill="FFFFFF" w:val="clear"/>
            <w:vAlign w:val="center"/>
          </w:tcPr>
          <w:p>
            <w:pPr>
              <w:pStyle w:val="TableContents"/>
              <w:bidi w:val="0"/>
              <w:spacing w:before="0" w:after="283"/>
              <w:jc w:val="both"/>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48,583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54,083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was $5,500 for the six months ended June 30, 2026, and nil for the six months ended June 30, 2025. </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Amortization expense for the next five years is as follows</w:t>
      </w:r>
      <w:r>
        <w:rPr>
          <w:rFonts w:eastAsia="Times New Roman;Times;Serif"/>
          <w:b w:val="false"/>
          <w:i w:val="false"/>
          <w:caps w:val="false"/>
          <w:smallCaps w:val="false"/>
          <w:sz w:val="20"/>
        </w:rPr>
        <w:t>：</w:t>
      </w:r>
    </w:p>
    <w:tbl>
      <w:tblPr>
        <w:tblW w:w="3204" w:type="dxa"/>
        <w:jc w:val="left"/>
        <w:tblInd w:w="0" w:type="dxa"/>
        <w:tblLayout w:type="fixed"/>
        <w:tblCellMar>
          <w:top w:w="0" w:type="dxa"/>
          <w:left w:w="0" w:type="dxa"/>
          <w:bottom w:w="0" w:type="dxa"/>
          <w:right w:w="0" w:type="dxa"/>
        </w:tblCellMar>
      </w:tblPr>
      <w:tblGrid>
        <w:gridCol w:w="845"/>
        <w:gridCol w:w="60"/>
        <w:gridCol w:w="378"/>
        <w:gridCol w:w="1846"/>
        <w:gridCol w:w="75"/>
      </w:tblGrid>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 expense</w:t>
            </w:r>
          </w:p>
        </w:tc>
        <w:tc>
          <w:tcPr>
            <w:tcW w:w="75"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846" w:type="dxa"/>
            <w:tcBorders/>
            <w:shd w:fill="CCEEFF" w:val="clear"/>
            <w:vAlign w:val="center"/>
          </w:tcPr>
          <w:p>
            <w:pPr>
              <w:pStyle w:val="TableContents"/>
              <w:bidi w:val="0"/>
              <w:spacing w:before="0" w:after="283"/>
              <w:jc w:val="right"/>
              <w:rPr/>
            </w:pPr>
            <w:r>
              <w:rPr/>
              <w:t>5,500</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right"/>
              <w:rPr/>
            </w:pPr>
            <w:r>
              <w:rPr/>
              <w:t>11,000</w:t>
            </w:r>
          </w:p>
        </w:tc>
        <w:tc>
          <w:tcPr>
            <w:tcW w:w="75"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846" w:type="dxa"/>
            <w:tcBorders/>
            <w:shd w:fill="CCEEFF" w:val="clear"/>
            <w:vAlign w:val="center"/>
          </w:tcPr>
          <w:p>
            <w:pPr>
              <w:pStyle w:val="TableContents"/>
              <w:bidi w:val="0"/>
              <w:spacing w:before="0" w:after="283"/>
              <w:jc w:val="right"/>
              <w:rPr/>
            </w:pPr>
            <w:r>
              <w:rPr/>
              <w:t>11,000</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right"/>
              <w:rPr/>
            </w:pPr>
            <w:r>
              <w:rPr/>
              <w:t>11,000</w:t>
            </w:r>
          </w:p>
        </w:tc>
        <w:tc>
          <w:tcPr>
            <w:tcW w:w="75"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6" w:type="dxa"/>
            <w:tcBorders>
              <w:bottom w:val="single" w:sz="12" w:space="0" w:color="000000"/>
            </w:tcBorders>
            <w:shd w:fill="CCEEFF" w:val="clear"/>
            <w:tcMar>
              <w:bottom w:w="28" w:type="dxa"/>
            </w:tcMar>
            <w:vAlign w:val="center"/>
          </w:tcPr>
          <w:p>
            <w:pPr>
              <w:pStyle w:val="TableContents"/>
              <w:bidi w:val="0"/>
              <w:spacing w:before="0" w:after="283"/>
              <w:jc w:val="right"/>
              <w:rPr/>
            </w:pPr>
            <w:r>
              <w:rPr/>
              <w:t>10,083</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6" w:type="dxa"/>
            <w:tcBorders>
              <w:bottom w:val="double" w:sz="10" w:space="0" w:color="000000"/>
            </w:tcBorders>
            <w:shd w:fill="FFFFFF" w:val="clear"/>
            <w:tcMar>
              <w:bottom w:w="28" w:type="dxa"/>
            </w:tcMar>
            <w:vAlign w:val="center"/>
          </w:tcPr>
          <w:p>
            <w:pPr>
              <w:pStyle w:val="TableContents"/>
              <w:bidi w:val="0"/>
              <w:spacing w:before="0" w:after="283"/>
              <w:jc w:val="right"/>
              <w:rPr/>
            </w:pPr>
            <w:r>
              <w:rPr/>
              <w:t>48,583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424" w:type="dxa"/>
        <w:jc w:val="left"/>
        <w:tblInd w:w="0" w:type="dxa"/>
        <w:tblLayout w:type="fixed"/>
        <w:tblCellMar>
          <w:top w:w="0" w:type="dxa"/>
          <w:left w:w="0" w:type="dxa"/>
          <w:bottom w:w="0" w:type="dxa"/>
          <w:right w:w="0" w:type="dxa"/>
        </w:tblCellMar>
      </w:tblPr>
      <w:tblGrid>
        <w:gridCol w:w="1880"/>
        <w:gridCol w:w="60"/>
        <w:gridCol w:w="149"/>
        <w:gridCol w:w="725"/>
        <w:gridCol w:w="60"/>
        <w:gridCol w:w="60"/>
        <w:gridCol w:w="241"/>
        <w:gridCol w:w="1174"/>
        <w:gridCol w:w="75"/>
      </w:tblGrid>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99,397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67,367</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both"/>
              <w:rPr/>
            </w:pPr>
            <w:r>
              <w:rPr/>
              <w:t>Total taxes payable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99,397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67,367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are comprised of the following: </w:t>
      </w:r>
    </w:p>
    <w:p>
      <w:pPr>
        <w:pStyle w:val="TextBody"/>
        <w:bidi w:val="0"/>
        <w:spacing w:before="0" w:after="0"/>
        <w:ind w:left="0" w:right="0" w:hanging="0"/>
        <w:jc w:val="both"/>
        <w:rPr>
          <w:caps w:val="false"/>
          <w:smallCaps w:val="false"/>
        </w:rPr>
      </w:pPr>
      <w:r>
        <w:rPr>
          <w:caps w:val="false"/>
          <w:smallCaps w:val="false"/>
        </w:rPr>
        <w:t> </w:t>
      </w:r>
    </w:p>
    <w:tbl>
      <w:tblPr>
        <w:tblW w:w="5586" w:type="dxa"/>
        <w:jc w:val="left"/>
        <w:tblInd w:w="0" w:type="dxa"/>
        <w:tblLayout w:type="fixed"/>
        <w:tblCellMar>
          <w:top w:w="0" w:type="dxa"/>
          <w:left w:w="0" w:type="dxa"/>
          <w:bottom w:w="0" w:type="dxa"/>
          <w:right w:w="0" w:type="dxa"/>
        </w:tblCellMar>
      </w:tblPr>
      <w:tblGrid>
        <w:gridCol w:w="2675"/>
        <w:gridCol w:w="60"/>
        <w:gridCol w:w="331"/>
        <w:gridCol w:w="1608"/>
        <w:gridCol w:w="141"/>
        <w:gridCol w:w="141"/>
        <w:gridCol w:w="331"/>
        <w:gridCol w:w="224"/>
        <w:gridCol w:w="75"/>
      </w:tblGrid>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Current income tax expense</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08" w:type="dxa"/>
            <w:tcBorders>
              <w:bottom w:val="single" w:sz="12" w:space="0" w:color="000000"/>
            </w:tcBorders>
            <w:shd w:fill="CCEEFF" w:val="clear"/>
            <w:tcMar>
              <w:bottom w:w="28" w:type="dxa"/>
            </w:tcMar>
            <w:vAlign w:val="center"/>
          </w:tcPr>
          <w:p>
            <w:pPr>
              <w:pStyle w:val="TableContents"/>
              <w:bidi w:val="0"/>
              <w:spacing w:before="0" w:after="283"/>
              <w:jc w:val="right"/>
              <w:rPr/>
            </w:pPr>
            <w:r>
              <w:rPr/>
              <w:t>32,031</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both"/>
              <w:rPr/>
            </w:pPr>
            <w:r>
              <w:rPr/>
              <w:t>Total  income tax expense</w:t>
            </w:r>
          </w:p>
        </w:tc>
        <w:tc>
          <w:tcPr>
            <w:tcW w:w="60" w:type="dxa"/>
            <w:tcBorders/>
            <w:shd w:fill="FFFFFF" w:val="clear"/>
            <w:vAlign w:val="center"/>
          </w:tcPr>
          <w:p>
            <w:pPr>
              <w:pStyle w:val="TableContents"/>
              <w:bidi w:val="0"/>
              <w:spacing w:before="0" w:after="283"/>
              <w:jc w:val="left"/>
              <w:rPr/>
            </w:pPr>
            <w:r>
              <w:rPr/>
              <w:t> </w:t>
            </w:r>
          </w:p>
        </w:tc>
        <w:tc>
          <w:tcPr>
            <w:tcW w:w="3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08" w:type="dxa"/>
            <w:tcBorders>
              <w:bottom w:val="double" w:sz="10" w:space="0" w:color="000000"/>
            </w:tcBorders>
            <w:shd w:fill="FFFFFF" w:val="clear"/>
            <w:tcMar>
              <w:bottom w:w="28" w:type="dxa"/>
            </w:tcMar>
            <w:vAlign w:val="center"/>
          </w:tcPr>
          <w:p>
            <w:pPr>
              <w:pStyle w:val="TableContents"/>
              <w:bidi w:val="0"/>
              <w:spacing w:before="0" w:after="283"/>
              <w:jc w:val="right"/>
              <w:rPr/>
            </w:pPr>
            <w:r>
              <w:rPr/>
              <w:t>32,031</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 formerly known as Nisun International Enterprise Development Group Co., Ltd, was incorporated in the BVI and is not subject to income taxes under the current laws of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YD Network and Aquasource are the companies registered in Hong Kong and subject to a corporate income tax rate of 8.25% on the first HK$2 million of profits and the remaining profits will be taxed at 16.5% if revenue is generated in Hong Kong. HK$5,713,436 and nil profit before income tax was generated in Hong Kong for the six months ended June 30, 2026 and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PRC EIT Law, the standard enterprise income tax rate for domestic enterprises and foreign invested enterprises is 25%. As the Company did not generate any taxable income in the PRC during the periods presented, no PRC enterprise income tax provision has been recorded.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Reconciliation between the provision for income taxes computed by applying the HK corporate income rate of 16.5% to net income before income taxes, and the actual provision for income taxes is as follows: </w:t>
      </w:r>
    </w:p>
    <w:p>
      <w:pPr>
        <w:pStyle w:val="TextBody"/>
        <w:bidi w:val="0"/>
        <w:spacing w:before="0" w:after="0"/>
        <w:ind w:left="0" w:right="0" w:hanging="0"/>
        <w:jc w:val="both"/>
        <w:rPr>
          <w:caps w:val="false"/>
          <w:smallCaps w:val="false"/>
        </w:rPr>
      </w:pPr>
      <w:r>
        <w:rPr>
          <w:caps w:val="false"/>
          <w:smallCaps w:val="false"/>
        </w:rPr>
        <w:t> </w:t>
      </w:r>
    </w:p>
    <w:tbl>
      <w:tblPr>
        <w:tblW w:w="9113" w:type="dxa"/>
        <w:jc w:val="left"/>
        <w:tblInd w:w="0" w:type="dxa"/>
        <w:tblLayout w:type="fixed"/>
        <w:tblCellMar>
          <w:top w:w="0" w:type="dxa"/>
          <w:left w:w="0" w:type="dxa"/>
          <w:bottom w:w="0" w:type="dxa"/>
          <w:right w:w="0" w:type="dxa"/>
        </w:tblCellMar>
      </w:tblPr>
      <w:tblGrid>
        <w:gridCol w:w="6890"/>
        <w:gridCol w:w="60"/>
        <w:gridCol w:w="66"/>
        <w:gridCol w:w="883"/>
        <w:gridCol w:w="95"/>
        <w:gridCol w:w="60"/>
        <w:gridCol w:w="60"/>
        <w:gridCol w:w="889"/>
        <w:gridCol w:w="110"/>
      </w:tblGrid>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11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Income (loss)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631,070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(589,890</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pPr>
            <w:r>
              <w:rPr/>
              <w:t>Income tax at the Hong Kong statutory tax rate of 16.5%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104,126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(97,332</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pPr>
            <w:r>
              <w:rPr/>
              <w:t>Less: Two-tiered tax concession (first HK$2m at 8.25%)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(21,088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Effect of different tax rates of subsidiaries operating in other jurisdictions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16,359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97,332</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Current income tax expense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99,397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Reverse the income tax over-accrued in 2025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(67,366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32,031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 CONCENTRATION OF MAJOR CUSTOMERS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revenue from services is derived from customers that are located primarily outside Mainland China, including Hong Kong. The Company has a concentration of its revenues from specific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30,2026, two customers accounted for 55% and 23% of the Company’s total revenue from the services business. As of June 30,2026, two customers accounted for approximately 67% and 33% of the Company’s total accounts receivable balance.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one customer accounted for 100% of the Company’s total revenue from the services business. As of December 31, 2025, three customers accounted for approximately 38%, 37% and 25% of the Company’s total accounts receivable balance. For six months ended June 30, 2025, one customer accounted for 100% of the Company’s total revenue from the services business. As of December 31, 2025, three customers accounted for approximately 38%, 37% and 25% of the Company’s total accounts receivable balance.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25, 2026, the Board of Directors approved an increase in the Company’s authorized share capital from 31,000,000 Common Shares divided into 30,000,000 Class A Common Shares and 1,000,000 Class B Common Shares, par value US$0.01 each (equivalent to 1,550,000 Common Shares divided into 1,500,000 Class A Common Shares and 50,000 Class B Common Shares, par value US$0.20 each, as adjusted for the 1-for-20 reverse share split effective April 27, 2026), to 10,000,000,000 Common Shares divided into 9,600,000,000 Class A Common Shares and 400,000,000 Class B Common Shares, par value US$0.01 each (equivalent to 500,000,000 Common Shares divided into 480,000,000 Class A Common Shares and 20,000,000 Class B Common Shares of a par value of US$0.2 each, as adjusted for the 1-for-20 reverse share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2026, the Board of Directors of the Company approved a 1-for-20 reverse split of the Company’s common shares with the effective date of April 27, 2026. Immediately upon the effectiveness of the Share Consolidation, the Company increased its authorized share capital from US$100,000,000 divided into 480,000,000 Class A Common Shares of a par value of US$0.2 and 20,000,000 Class B Common Shares of a par value of US$0.2 each, to US$2,000,000,000 divided into 9,600,000,000 Class A Common Shares of a par value of US$0.2 and 400,000,000 Class B Common Shares of a par value of US$0.2, of which 3,249,337 Class A common shares were issued and outstanding as of June 30, 2026. The financial statements give retroactive effect to this 1-for-20 Reverse Share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2026, the Board of Directors of the Company approved a reduction of the par value of all of its issued and unissued shares from US$0.2 each to US$0.0001 each, so that after such reduction, the Company’s authorized share capital will be US$1,000,000 and the Company will be authorized to issue a maximum of 10,000,000,000 common shares divided into 9,600,000,000 Class A Common Shares of a nominal or par value of US$0.0001 each and 400,000,000 Class B Common Shares of a nominal or par value of US$0.0001 each, (the “Share Capital Reduction”). The Share Capital Reduction was filed with the Registry of Corporate Affairs of the British Virgin Islands on June 2,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 incentive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stated, all share counts and prices herein are retrospectively adjusted for the 1-for-20 reverse share split effective April 27,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Compensation Committee and the Board of Directors approved and adopted the 2022 Equity Incentive Plan, or the 2022 Plan, which is substantially similar to the Company’s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2025 and April 7, 2025, the Board of Directors approved the grant of 5,000 and 8,000 shares of Class A Common Share, respectively, to two employees pursuant to the 2022 Share Incentive Plan, with an aggregate fair value of $1,558,200 based on the grant-date closing prices of $143 and $105.4, respectively. The incentive shares granted vested immediately upon grant.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2026, the Board of Directors approved the grant of 9,338 shares of Class A Common Share to two employees pursuant to the 2022 Share Incentive Plan, with an aggregate fair value of $190,473 based on the grant-date closing prices of $20.4. The incentive restricted shares granted vested immediately upon grant, with shares reissued from treasury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SHAREHOLDERS’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13, 2026, the Company entered into a securities purchase agreement with certain investors for a private placement offering of 3,000,000 Class A common shares of par value US$0.2 per share at the subscription price of US$8.0 per Class A Common Share and warrants to purchase up to an aggregate of 6,000,000 Class A Common Shares (the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are exercisable in two equal tranches: warrants to purchase 3,000,000 Class A Common Shares are exercisable at a price equal to 200% of the Per Share Purchase Price, and Warrants to purchase the remaining 3,000,000 Class A Common Shares are exercisable at a price equal to 250% of the Per Share Purchase Price. The Warrants are exercisable on or after the ninety (90th) day following the closing date and will expire five (5) years after that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6, 2026, all closing conditions under the Securities Purchase Agreement were satisfied, and the Private Placement was consummated. The Company issued the Class A common shares and warrants to the investors in accordance with the agreement, and gross proceeds from the share issuance were approximately US$24.0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major related parties of the Company and their relationships with the Company.</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2225"/>
        <w:gridCol w:w="60"/>
        <w:gridCol w:w="6980"/>
      </w:tblGrid>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Entity or individual name</w:t>
            </w:r>
          </w:p>
        </w:tc>
        <w:tc>
          <w:tcPr>
            <w:tcW w:w="60" w:type="dxa"/>
            <w:tcBorders/>
            <w:tcMar>
              <w:bottom w:w="0" w:type="dxa"/>
            </w:tcMar>
            <w:vAlign w:val="center"/>
          </w:tcPr>
          <w:p>
            <w:pPr>
              <w:pStyle w:val="TableContents"/>
              <w:bidi w:val="0"/>
              <w:spacing w:before="0" w:after="283"/>
              <w:jc w:val="both"/>
              <w:rPr/>
            </w:pPr>
            <w:r>
              <w:rPr/>
              <w:t> </w:t>
            </w:r>
          </w:p>
        </w:tc>
        <w:tc>
          <w:tcPr>
            <w:tcW w:w="69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Relationship with the Company</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Zhao Yun</w:t>
            </w:r>
          </w:p>
        </w:tc>
        <w:tc>
          <w:tcPr>
            <w:tcW w:w="60" w:type="dxa"/>
            <w:tcBorders/>
            <w:shd w:fill="CCEEFF" w:val="clear"/>
            <w:tcMar>
              <w:bottom w:w="0" w:type="dxa"/>
            </w:tcMar>
            <w:vAlign w:val="center"/>
          </w:tcPr>
          <w:p>
            <w:pPr>
              <w:pStyle w:val="TableContents"/>
              <w:bidi w:val="0"/>
              <w:spacing w:before="0" w:after="283"/>
              <w:jc w:val="both"/>
              <w:rPr/>
            </w:pPr>
            <w:r>
              <w:rPr/>
              <w:t> </w:t>
            </w:r>
          </w:p>
        </w:tc>
        <w:tc>
          <w:tcPr>
            <w:tcW w:w="69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 and Chairman of the Compensation Committee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23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entered into the following related party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and for fiscal year ended December 31, 2025, the Company had no material related party transactions. </w:t>
      </w:r>
    </w:p>
    <w:p>
      <w:pPr>
        <w:pStyle w:val="TextBody"/>
        <w:bidi w:val="0"/>
        <w:spacing w:before="0" w:after="0"/>
        <w:ind w:left="0" w:right="0" w:hanging="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4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had the following significant related party balances: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a due to related party balance of $12,083 owing to Zhao Yun.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no non-cancelable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various legal proceedings, claims and other disputes arising from commercial operations, employees and other matters which, in general, are subject to uncertainties and in which the outcomes are not predictable. The Company determines whether an estimated loss for a contingency should be accrued by assessing whether a loss is deemed probable and can be reasonably estimated. The Company was not aware of any litigation, lawsuits or claims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uses the management approach to determine operating segments. The management approach considers the internal organization and reporting used by the Company’s chief operating decision maker (“CODM”) for making decisions, allocating resources and assessing performance. The Company’s CODM has been identified as the chief executive officer, who reviews the operating profit or loss for each reporting unit when making decisions about allocating resources and assessing performance of the Group.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Group managed its business as a single operating segment engaged in SME financing solutions and information technology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Group’s operations by business segment for the years ended June 30, 2025 and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47"/>
        <w:gridCol w:w="60"/>
        <w:gridCol w:w="163"/>
        <w:gridCol w:w="1150"/>
        <w:gridCol w:w="111"/>
        <w:gridCol w:w="69"/>
        <w:gridCol w:w="163"/>
        <w:gridCol w:w="1027"/>
        <w:gridCol w:w="115"/>
      </w:tblGrid>
      <w:tr>
        <w:trPr/>
        <w:tc>
          <w:tcPr>
            <w:tcW w:w="73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5" w:type="dxa"/>
            <w:tcBorders/>
            <w:vAlign w:val="center"/>
          </w:tcPr>
          <w:p>
            <w:pPr>
              <w:pStyle w:val="TableContents"/>
              <w:bidi w:val="0"/>
              <w:spacing w:before="0" w:after="283"/>
              <w:jc w:val="left"/>
              <w:rPr/>
            </w:pPr>
            <w:r>
              <w:rPr/>
              <w:t> </w:t>
            </w:r>
          </w:p>
        </w:tc>
      </w:tr>
      <w:tr>
        <w:trPr/>
        <w:tc>
          <w:tcPr>
            <w:tcW w:w="73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7347" w:type="dxa"/>
            <w:tcBorders/>
            <w:vAlign w:val="center"/>
          </w:tcPr>
          <w:p>
            <w:pPr>
              <w:pStyle w:val="TableContents"/>
              <w:bidi w:val="0"/>
              <w:spacing w:before="0" w:after="283"/>
              <w:jc w:val="both"/>
              <w:rPr/>
            </w:pPr>
            <w:r>
              <w:rPr/>
              <w:t>REVENUES:</w:t>
            </w:r>
          </w:p>
        </w:tc>
        <w:tc>
          <w:tcPr>
            <w:tcW w:w="60" w:type="dxa"/>
            <w:tcBorders/>
            <w:vAlign w:val="center"/>
          </w:tcPr>
          <w:p>
            <w:pPr>
              <w:pStyle w:val="TableContents"/>
              <w:bidi w:val="0"/>
              <w:spacing w:before="0" w:after="283"/>
              <w:jc w:val="left"/>
              <w:rPr/>
            </w:pPr>
            <w:r>
              <w:rPr/>
              <w:t> </w:t>
            </w:r>
          </w:p>
        </w:tc>
        <w:tc>
          <w:tcPr>
            <w:tcW w:w="1313"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7347" w:type="dxa"/>
            <w:tcBorders/>
            <w:vAlign w:val="center"/>
          </w:tcPr>
          <w:p>
            <w:pPr>
              <w:pStyle w:val="TableContents"/>
              <w:bidi w:val="0"/>
              <w:spacing w:before="0" w:after="283"/>
              <w:jc w:val="both"/>
              <w:rPr/>
            </w:pPr>
            <w:r>
              <w:rPr/>
              <w:t>Revenue generated from services:</w:t>
            </w:r>
          </w:p>
        </w:tc>
        <w:tc>
          <w:tcPr>
            <w:tcW w:w="60" w:type="dxa"/>
            <w:tcBorders/>
            <w:vAlign w:val="center"/>
          </w:tcPr>
          <w:p>
            <w:pPr>
              <w:pStyle w:val="TableContents"/>
              <w:bidi w:val="0"/>
              <w:spacing w:before="0" w:after="283"/>
              <w:jc w:val="left"/>
              <w:rPr/>
            </w:pPr>
            <w:r>
              <w:rPr/>
              <w:t> </w:t>
            </w:r>
          </w:p>
        </w:tc>
        <w:tc>
          <w:tcPr>
            <w:tcW w:w="1313"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both"/>
              <w:rPr/>
            </w:pPr>
            <w:r>
              <w:rPr/>
              <w:t>Small and Medium Enterprise financing solutions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120,000</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Information Technology services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977,935</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1,097,935</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both"/>
              <w:rPr/>
            </w:pPr>
            <w:r>
              <w:rPr/>
              <w:t>Cost of revenue - services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(400,000</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697,935</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(582,411</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(65,157</w:t>
            </w:r>
          </w:p>
        </w:tc>
        <w:tc>
          <w:tcPr>
            <w:tcW w:w="115" w:type="dxa"/>
            <w:tcBorders/>
            <w:shd w:fill="CCEEFF" w:val="clear"/>
            <w:vAlign w:val="center"/>
          </w:tcPr>
          <w:p>
            <w:pPr>
              <w:pStyle w:val="TableContents"/>
              <w:bidi w:val="0"/>
              <w:spacing w:before="0" w:after="283"/>
              <w:jc w:val="left"/>
              <w:rPr/>
            </w:pPr>
            <w:r>
              <w:rPr/>
              <w:t>)</w:t>
            </w:r>
          </w:p>
        </w:tc>
      </w:tr>
      <w:tr>
        <w:trPr/>
        <w:tc>
          <w:tcPr>
            <w:tcW w:w="7347"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(582,411</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(65,157</w:t>
            </w:r>
          </w:p>
        </w:tc>
        <w:tc>
          <w:tcPr>
            <w:tcW w:w="115" w:type="dxa"/>
            <w:tcBorders/>
            <w:shd w:fill="FFFFFF" w:val="clear"/>
            <w:vAlign w:val="center"/>
          </w:tcPr>
          <w:p>
            <w:pPr>
              <w:pStyle w:val="TableContents"/>
              <w:bidi w:val="0"/>
              <w:spacing w:before="0" w:after="283"/>
              <w:jc w:val="left"/>
              <w:rPr/>
            </w:pPr>
            <w:r>
              <w:rPr/>
              <w:t>)</w:t>
            </w:r>
          </w:p>
        </w:tc>
      </w:tr>
      <w:tr>
        <w:trPr/>
        <w:tc>
          <w:tcPr>
            <w:tcW w:w="7347" w:type="dxa"/>
            <w:tcBorders/>
            <w:shd w:fill="CCEEFF" w:val="clear"/>
            <w:vAlign w:val="center"/>
          </w:tcPr>
          <w:p>
            <w:pPr>
              <w:pStyle w:val="TableContents"/>
              <w:bidi w:val="0"/>
              <w:spacing w:before="0" w:after="283"/>
              <w:jc w:val="both"/>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115,524</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(65,157</w:t>
            </w:r>
          </w:p>
        </w:tc>
        <w:tc>
          <w:tcPr>
            <w:tcW w:w="115" w:type="dxa"/>
            <w:tcBorders/>
            <w:shd w:fill="CCEEFF" w:val="clear"/>
            <w:vAlign w:val="center"/>
          </w:tcPr>
          <w:p>
            <w:pPr>
              <w:pStyle w:val="TableContents"/>
              <w:bidi w:val="0"/>
              <w:spacing w:before="0" w:after="283"/>
              <w:jc w:val="left"/>
              <w:rPr/>
            </w:pPr>
            <w:r>
              <w:rPr/>
              <w:t>)</w:t>
            </w:r>
          </w:p>
        </w:tc>
      </w:tr>
      <w:tr>
        <w:trPr/>
        <w:tc>
          <w:tcPr>
            <w:tcW w:w="734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both"/>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Interest and investment income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160,907</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(524,733</w:t>
            </w:r>
          </w:p>
        </w:tc>
        <w:tc>
          <w:tcPr>
            <w:tcW w:w="115" w:type="dxa"/>
            <w:tcBorders/>
            <w:shd w:fill="FFFFFF" w:val="clear"/>
            <w:vAlign w:val="center"/>
          </w:tcPr>
          <w:p>
            <w:pPr>
              <w:pStyle w:val="TableContents"/>
              <w:bidi w:val="0"/>
              <w:spacing w:before="0" w:after="283"/>
              <w:jc w:val="left"/>
              <w:rPr/>
            </w:pPr>
            <w:r>
              <w:rPr/>
              <w:t>)</w:t>
            </w:r>
          </w:p>
        </w:tc>
      </w:tr>
      <w:tr>
        <w:trPr/>
        <w:tc>
          <w:tcPr>
            <w:tcW w:w="7347" w:type="dxa"/>
            <w:tcBorders/>
            <w:shd w:fill="CCEEFF" w:val="clear"/>
            <w:vAlign w:val="center"/>
          </w:tcPr>
          <w:p>
            <w:pPr>
              <w:pStyle w:val="TableContents"/>
              <w:bidi w:val="0"/>
              <w:spacing w:before="0" w:after="283"/>
              <w:jc w:val="both"/>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354,639</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515,546</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(524,733</w:t>
            </w:r>
          </w:p>
        </w:tc>
        <w:tc>
          <w:tcPr>
            <w:tcW w:w="115" w:type="dxa"/>
            <w:tcBorders/>
            <w:shd w:fill="FFFFFF" w:val="clear"/>
            <w:vAlign w:val="center"/>
          </w:tcPr>
          <w:p>
            <w:pPr>
              <w:pStyle w:val="TableContents"/>
              <w:bidi w:val="0"/>
              <w:spacing w:before="0" w:after="283"/>
              <w:jc w:val="left"/>
              <w:rPr/>
            </w:pPr>
            <w:r>
              <w:rPr/>
              <w:t>)</w:t>
            </w:r>
          </w:p>
        </w:tc>
      </w:tr>
      <w:tr>
        <w:trPr/>
        <w:tc>
          <w:tcPr>
            <w:tcW w:w="73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INCOME (LOSS) BEFORE INCOME TAXES FROM CONTINUING OPERATIONS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631,070</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(589,890</w:t>
            </w:r>
          </w:p>
        </w:tc>
        <w:tc>
          <w:tcPr>
            <w:tcW w:w="115" w:type="dxa"/>
            <w:tcBorders/>
            <w:shd w:fill="FFFFFF" w:val="clear"/>
            <w:vAlign w:val="center"/>
          </w:tcPr>
          <w:p>
            <w:pPr>
              <w:pStyle w:val="TableContents"/>
              <w:bidi w:val="0"/>
              <w:spacing w:before="0" w:after="283"/>
              <w:jc w:val="left"/>
              <w:rPr/>
            </w:pPr>
            <w:r>
              <w:rPr/>
              <w:t>)</w:t>
            </w:r>
          </w:p>
        </w:tc>
      </w:tr>
      <w:tr>
        <w:trPr/>
        <w:tc>
          <w:tcPr>
            <w:tcW w:w="73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(32,031</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73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347" w:type="dxa"/>
            <w:tcBorders/>
            <w:shd w:fill="FFFFFF" w:val="clear"/>
            <w:vAlign w:val="center"/>
          </w:tcPr>
          <w:p>
            <w:pPr>
              <w:pStyle w:val="TableContents"/>
              <w:bidi w:val="0"/>
              <w:spacing w:before="0" w:after="283"/>
              <w:jc w:val="both"/>
              <w:rPr/>
            </w:pPr>
            <w:r>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599,039</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(589,890</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of Class B common shares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the Company issued 5,000,000 Class B common shares to Swift Prime Limited (“SPL”), pursuant to a share subscription agreement (the “Share Subscription Agreement”) dated June 26, 2026, between SPL and the Company. SPL is a company wholly owned by Mr. Guo Li, who serves as a director and Co-Chief Executive Officer of the Company.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Share Subscription Agreement, SPL subscribed for 5,000,000 Class B common shares at a price of US$0.0001 per share, which equals the par value of the Class B common shares, for an aggregate consideration of US$500. Following the Class B Variation approved at the extraordinary general meeting held on May 29, 2026, each Class B common share carries one hundred votes and is convertible into one Class A common share at the election of the holder, and all Class B common shares will be automatically converted into Class A common shares if the holder beneficially owns fewer than 38,892 Class B common shares. The consideration is due within ten days following the closing date. SPL has voluntarily agreed that, for a period of five years from the date of issuance, the Class B common shares may not be transferred, sold, or otherwise disposed of without the prior approval of the Company’s Board of Directors.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completion of the issuance, Mr. Guo Li, through SPL, beneficially owns approximately 60.6% of the Company’s outstanding common shares, representing approximately 99.4% of the aggregate voting power of the Company.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the Share Subscription Agreement and the issuance of shares thereunder constitute a related party transaction. The terms of the agreement were reviewed and approved by the audit committee and the Board of Directors of the Company, with all interested parties recusing themselves from deliberation and voting.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the date the financial statements are issued, and determined that there have been no other events or transactions occurring during this reporting period that would require recognition or disclosure in the financial statements, other than those disclosed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3993/000121390026079154/ea0291263-0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13776</Words>
  <Characters>76904</Characters>
  <CharactersWithSpaces>92598</CharactersWithSpaces>
  <Paragraphs>6314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