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Hok Cheung Street, Hunghom, Kowloon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Results of AIOS Tech Inc.’s Extraordinary General Meeting of Shareholders</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The extraordinary general meeting of shareholders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of the Company was held on May 29, 2026 at 9:00 a.m., Beijing Time, at Room 407, Tower 2, Harbour Centre, 8 Hok Cheung Street, Hunghom, Kowloon, Hong Kong.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EGM, shareholders of the Company duly adopted the following resolutions:</w:t>
      </w:r>
    </w:p>
    <w:p>
      <w:pPr>
        <w:spacing w:after="0" w:line="221" w:lineRule="exact"/>
        <w:rPr>
          <w:sz w:val="20"/>
          <w:szCs w:val="20"/>
          <w:color w:val="auto"/>
        </w:rPr>
      </w:pPr>
    </w:p>
    <w:p>
      <w:pPr>
        <w:jc w:val="both"/>
        <w:ind w:left="980" w:hanging="324"/>
        <w:spacing w:after="0" w:line="26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subject to the necessary filing with the Registry of Corporate Affairs of the British Virgin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the number of votes that holders of Class B common shares of the Company are entitled to cast on a poll in a meeting of the shareholders of the Company be increased from 5 votes for each Class B common share they hold to 100 votes for each Class B common share they hold (the “</w:t>
      </w:r>
      <w:r>
        <w:rPr>
          <w:rFonts w:ascii="Times New Roman" w:cs="Times New Roman" w:eastAsia="Times New Roman" w:hAnsi="Times New Roman"/>
          <w:sz w:val="18"/>
          <w:szCs w:val="18"/>
          <w:b w:val="1"/>
          <w:bCs w:val="1"/>
          <w:color w:val="auto"/>
        </w:rPr>
        <w:t>Class B Variation</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subject to the necessary filing with the Registrar, the adoption by the Company of the amended and restated memorandum and articles of association, in substitution for, and to the exclusion of, the Company’s memorandum and articles of association then in effect, to effect, among other things, the Class B Variation.</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resolved that, the extraordinary general meeting of the Company be adjourned to a later date or dates or sine die, if necessary, to permit further solicitation and vote of proxies if, at the time of the extraordinary general meeting of the Company, there are not sufficient votes for, or otherwise in connection with, the approval of the foregoing proposals.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Guo Li</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Guo Li</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2026-05-29T17:23:42Z</dcterms:created>
  <dcterms:modified xsi:type="dcterms:W3CDTF">2026-05-29T17:23:42Z</dcterms:modified>
</cp:coreProperties>
</file>